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9"/>
        <w:jc w:val="center"/>
        <w:rPr>
          <w:rFonts w:ascii="Times New Roman" w:eastAsia="宋体" w:cs="Times New Roman"/>
          <w:b/>
          <w:bCs/>
          <w:sz w:val="84"/>
          <w:szCs w:val="84"/>
        </w:rPr>
      </w:pPr>
      <w:r/>
      <w:bookmarkStart w:id="0" w:name="_Toc390098840"/>
      <w:r/>
      <w:bookmarkStart w:id="1" w:name="_Toc383679746"/>
      <w:r/>
      <w:bookmarkStart w:id="2" w:name="_Toc390246905"/>
      <w:r/>
      <w:bookmarkStart w:id="3" w:name="_Toc390099018"/>
      <w:r/>
      <w:bookmarkStart w:id="4" w:name="_Toc383623672"/>
      <w:r/>
      <w:bookmarkStart w:id="5" w:name="_Toc383587456"/>
      <w:r/>
      <w:bookmarkStart w:id="6" w:name="_Toc383625993"/>
      <w:r/>
      <w:bookmarkStart w:id="7" w:name="_Toc383623944"/>
      <w:r/>
      <w:bookmarkStart w:id="8" w:name="_Toc426469868"/>
      <w:r/>
      <w:bookmarkStart w:id="9" w:name="_Toc383698647"/>
      <w:r/>
      <w:r/>
    </w:p>
    <w:p>
      <w:pPr>
        <w:pStyle w:val="709"/>
        <w:jc w:val="center"/>
        <w:rPr>
          <w:rFonts w:ascii="Times New Roman" w:eastAsia="宋体" w:cs="Times New Roman"/>
          <w:b/>
          <w:bCs/>
          <w:sz w:val="84"/>
          <w:szCs w:val="84"/>
        </w:rPr>
      </w:pPr>
      <w:r>
        <w:rPr>
          <w:rFonts w:ascii="Times New Roman" w:eastAsia="宋体" w:cs="Times New Roman"/>
          <w:b/>
          <w:bCs/>
          <w:sz w:val="84"/>
          <w:szCs w:val="84"/>
        </w:rPr>
      </w:r>
      <w:r/>
    </w:p>
    <w:p>
      <w:pPr>
        <w:pStyle w:val="709"/>
        <w:jc w:val="center"/>
        <w:rPr>
          <w:rFonts w:ascii="Times New Roman" w:eastAsia="宋体" w:cs="Times New Roman"/>
          <w:b/>
          <w:bCs/>
          <w:sz w:val="84"/>
          <w:szCs w:val="84"/>
        </w:rPr>
      </w:pPr>
      <w:r>
        <w:rPr>
          <w:rFonts w:ascii="Times New Roman" w:eastAsia="宋体" w:cs="Times New Roman"/>
          <w:b/>
          <w:bCs/>
          <w:sz w:val="84"/>
          <w:szCs w:val="84"/>
        </w:rPr>
      </w:r>
      <w:r/>
    </w:p>
    <w:p>
      <w:pPr>
        <w:pStyle w:val="709"/>
        <w:jc w:val="center"/>
        <w:rPr>
          <w:rFonts w:ascii="Times New Roman" w:eastAsia="宋体" w:cs="Times New Roman"/>
          <w:b/>
          <w:bCs/>
          <w:sz w:val="84"/>
          <w:szCs w:val="84"/>
        </w:rPr>
      </w:pPr>
      <w:r>
        <w:rPr>
          <w:rFonts w:ascii="Times New Roman" w:eastAsia="宋体" w:cs="Times New Roman"/>
          <w:b/>
          <w:bCs/>
          <w:sz w:val="84"/>
          <w:szCs w:val="84"/>
        </w:rPr>
        <w:t xml:space="preserve">招　标　文　件</w:t>
      </w:r>
      <w:r/>
    </w:p>
    <w:p>
      <w:pPr>
        <w:pStyle w:val="709"/>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709"/>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709"/>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709"/>
        <w:spacing w:line="540" w:lineRule="exact"/>
        <w:rPr>
          <w:rFonts w:ascii="Times New Roman" w:eastAsia="宋体" w:cs="Times New Roman"/>
          <w:b/>
          <w:bCs/>
          <w:sz w:val="32"/>
          <w:szCs w:val="32"/>
        </w:rPr>
      </w:pP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p>
    <w:p>
      <w:pPr>
        <w:ind w:left="2169" w:hanging="2169"/>
        <w:rPr>
          <w:b/>
          <w:bCs/>
          <w:sz w:val="44"/>
          <w:szCs w:val="44"/>
        </w:rPr>
      </w:pPr>
      <w:r>
        <w:rPr>
          <w:b/>
          <w:bCs/>
          <w:sz w:val="44"/>
          <w:szCs w:val="44"/>
        </w:rPr>
        <w:t xml:space="preserve">项目名称：</w:t>
      </w:r>
      <w:r>
        <w:rPr>
          <w:rFonts w:hint="eastAsia" w:ascii="宋体" w:hAnsi="宋体" w:eastAsia="宋体" w:cs="宋体"/>
          <w:b/>
          <w:bCs/>
          <w:spacing w:val="-20"/>
          <w:sz w:val="44"/>
          <w:szCs w:val="44"/>
        </w:rPr>
        <w:t xml:space="preserve">2026年</w:t>
      </w:r>
      <w:r>
        <w:rPr>
          <w:rFonts w:hint="eastAsia"/>
          <w:b/>
          <w:bCs/>
          <w:spacing w:val="-20"/>
          <w:sz w:val="44"/>
          <w:szCs w:val="44"/>
        </w:rPr>
        <w:t xml:space="preserve">度泰兴市详细规划调整项目</w:t>
      </w:r>
      <w:r/>
    </w:p>
    <w:p>
      <w:pPr>
        <w:widowControl/>
        <w:rPr>
          <w:rFonts w:hint="default" w:eastAsia="宋体"/>
          <w:sz w:val="44"/>
          <w:szCs w:val="44"/>
          <w:highlight w:val="none"/>
          <w:lang w:val="en-US" w:eastAsia="zh-CN"/>
        </w:rPr>
      </w:pPr>
      <w:r>
        <w:rPr>
          <w:b/>
          <w:bCs/>
          <w:sz w:val="44"/>
          <w:szCs w:val="44"/>
        </w:rPr>
        <w:t xml:space="preserve">项目编号</w:t>
      </w:r>
      <w:r>
        <w:rPr>
          <w:b/>
          <w:bCs/>
          <w:sz w:val="44"/>
          <w:szCs w:val="44"/>
          <w:highlight w:val="none"/>
        </w:rPr>
        <w:t xml:space="preserve">：</w:t>
      </w:r>
      <w:r>
        <w:rPr>
          <w:rFonts w:hint="eastAsia" w:ascii="宋体" w:hAnsi="宋体" w:eastAsia="宋体" w:cs="宋体"/>
          <w:b/>
          <w:bCs/>
          <w:sz w:val="44"/>
          <w:szCs w:val="44"/>
          <w:highlight w:val="none"/>
        </w:rPr>
        <w:t xml:space="preserve">JSZC-321283-JZCG-G202</w:t>
      </w:r>
      <w:r>
        <w:rPr>
          <w:rFonts w:hint="eastAsia" w:ascii="宋体" w:hAnsi="宋体" w:eastAsia="宋体" w:cs="宋体"/>
          <w:b/>
          <w:bCs/>
          <w:sz w:val="44"/>
          <w:szCs w:val="44"/>
          <w:highlight w:val="none"/>
          <w:lang w:val="en-US" w:eastAsia="zh-CN"/>
        </w:rPr>
        <w:t xml:space="preserve">6</w:t>
      </w:r>
      <w:r>
        <w:rPr>
          <w:rFonts w:hint="eastAsia" w:ascii="宋体" w:hAnsi="宋体" w:eastAsia="宋体" w:cs="宋体"/>
          <w:b/>
          <w:bCs/>
          <w:sz w:val="44"/>
          <w:szCs w:val="44"/>
          <w:highlight w:val="none"/>
        </w:rPr>
        <w:t xml:space="preserve">-00</w:t>
      </w:r>
      <w:r>
        <w:rPr>
          <w:rFonts w:hint="eastAsia" w:ascii="宋体" w:hAnsi="宋体" w:eastAsia="宋体" w:cs="宋体"/>
          <w:b/>
          <w:bCs/>
          <w:sz w:val="44"/>
          <w:szCs w:val="44"/>
          <w:highlight w:val="none"/>
          <w:lang w:val="en-US" w:eastAsia="zh-CN"/>
        </w:rPr>
        <w:t xml:space="preserve">0</w:t>
      </w:r>
      <w:r>
        <w:rPr>
          <w:rFonts w:hint="eastAsia" w:ascii="宋体" w:hAnsi="宋体" w:cs="宋体"/>
          <w:b/>
          <w:bCs/>
          <w:sz w:val="44"/>
          <w:szCs w:val="44"/>
          <w:highlight w:val="none"/>
          <w:lang w:val="en-US" w:eastAsia="zh-CN"/>
        </w:rPr>
        <w:t xml:space="preserve">5</w:t>
      </w:r>
      <w:r/>
    </w:p>
    <w:p>
      <w:pPr>
        <w:pStyle w:val="709"/>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709"/>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709"/>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709"/>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709"/>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709"/>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709"/>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709"/>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709"/>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ind w:firstLine="2530"/>
        <w:spacing w:line="360" w:lineRule="auto"/>
        <w:rPr>
          <w:rFonts w:eastAsia="楷体"/>
          <w:b/>
          <w:sz w:val="36"/>
          <w:szCs w:val="36"/>
        </w:rPr>
      </w:pPr>
      <w:r>
        <w:rPr>
          <w:rFonts w:hint="eastAsia" w:eastAsia="楷体"/>
          <w:b/>
          <w:sz w:val="36"/>
          <w:szCs w:val="36"/>
        </w:rPr>
        <w:t xml:space="preserve">泰兴市自然资源和规划局</w:t>
      </w:r>
      <w:r/>
    </w:p>
    <w:p>
      <w:pPr>
        <w:jc w:val="center"/>
        <w:spacing w:line="360" w:lineRule="auto"/>
        <w:rPr>
          <w:rFonts w:eastAsia="楷体"/>
          <w:b/>
          <w:sz w:val="36"/>
          <w:szCs w:val="36"/>
          <w:highlight w:val="none"/>
        </w:rPr>
      </w:pPr>
      <w:r>
        <w:rPr>
          <w:rFonts w:eastAsia="楷体"/>
          <w:b/>
          <w:sz w:val="36"/>
          <w:szCs w:val="36"/>
          <w:highlight w:val="none"/>
        </w:rPr>
        <w:t xml:space="preserve">二〇二</w:t>
      </w:r>
      <w:r>
        <w:rPr>
          <w:rFonts w:hint="eastAsia" w:eastAsia="楷体"/>
          <w:b/>
          <w:sz w:val="36"/>
          <w:szCs w:val="36"/>
          <w:highlight w:val="none"/>
          <w:lang w:val="en-US" w:eastAsia="zh-CN"/>
        </w:rPr>
        <w:t xml:space="preserve">六年六</w:t>
      </w:r>
      <w:r>
        <w:rPr>
          <w:rFonts w:eastAsia="楷体"/>
          <w:b/>
          <w:sz w:val="36"/>
          <w:szCs w:val="36"/>
          <w:highlight w:val="none"/>
        </w:rPr>
        <w:t xml:space="preserve">月</w:t>
      </w:r>
      <w:r/>
    </w:p>
    <w:p>
      <w:pPr>
        <w:pStyle w:val="650"/>
      </w:pPr>
      <w:r/>
      <w:r/>
    </w:p>
    <w:p>
      <w:pPr>
        <w:rPr>
          <w:rFonts w:hint="eastAsia" w:ascii="黑体" w:hAnsi="黑体" w:eastAsia="黑体"/>
          <w:b/>
          <w:color w:val="auto"/>
        </w:rPr>
      </w:pPr>
      <w:r>
        <w:rPr>
          <w:rFonts w:hint="eastAsia" w:ascii="黑体" w:hAnsi="黑体" w:eastAsia="黑体"/>
          <w:b/>
          <w:color w:val="auto"/>
        </w:rPr>
      </w:r>
      <w:r/>
    </w:p>
    <w:p>
      <w:pPr>
        <w:pStyle w:val="665"/>
        <w:ind w:left="0" w:firstLine="0"/>
        <w:jc w:val="center"/>
        <w:spacing w:line="500" w:lineRule="exact"/>
        <w:tabs>
          <w:tab w:val="left" w:pos="3240" w:leader="none"/>
        </w:tabs>
        <w:rPr>
          <w:rFonts w:ascii="黑体" w:hAnsi="黑体" w:eastAsia="黑体"/>
          <w:b/>
          <w:color w:val="auto"/>
        </w:rPr>
        <w:outlineLvl w:val="0"/>
      </w:pPr>
      <w:r>
        <w:rPr>
          <w:rFonts w:hint="eastAsia" w:ascii="黑体" w:hAnsi="黑体" w:eastAsia="黑体"/>
          <w:b/>
          <w:color w:val="auto"/>
        </w:rPr>
        <w:t xml:space="preserve">第一章</w:t>
      </w:r>
      <w:r>
        <w:rPr>
          <w:rFonts w:ascii="黑体" w:hAnsi="黑体" w:eastAsia="黑体"/>
          <w:b/>
          <w:color w:val="auto"/>
        </w:rPr>
        <w:t xml:space="preserve"> </w:t>
      </w:r>
      <w:bookmarkEnd w:id="0"/>
      <w:r/>
      <w:bookmarkEnd w:id="1"/>
      <w:r/>
      <w:bookmarkEnd w:id="2"/>
      <w:r/>
      <w:bookmarkEnd w:id="3"/>
      <w:r/>
      <w:bookmarkEnd w:id="4"/>
      <w:r/>
      <w:bookmarkEnd w:id="5"/>
      <w:r/>
      <w:bookmarkEnd w:id="6"/>
      <w:r/>
      <w:bookmarkEnd w:id="7"/>
      <w:r/>
      <w:bookmarkEnd w:id="8"/>
      <w:r/>
      <w:bookmarkEnd w:id="9"/>
      <w:r>
        <w:rPr>
          <w:rFonts w:hint="eastAsia" w:ascii="黑体" w:hAnsi="黑体" w:eastAsia="黑体"/>
          <w:b/>
          <w:color w:val="auto"/>
        </w:rPr>
        <w:t xml:space="preserve">  招标公告</w:t>
      </w:r>
      <w:r/>
    </w:p>
    <w:p>
      <w:pPr>
        <w:spacing w:line="440" w:lineRule="exact"/>
        <w:rPr>
          <w:rFonts w:ascii="宋体"/>
          <w:sz w:val="28"/>
          <w:szCs w:val="28"/>
        </w:rPr>
        <w:pBdr>
          <w:top w:val="single" w:color="auto" w:sz="4" w:space="1"/>
          <w:left w:val="single" w:color="auto" w:sz="4" w:space="4"/>
          <w:bottom w:val="single" w:color="auto" w:sz="4" w:space="1"/>
          <w:right w:val="single" w:color="auto" w:sz="4" w:space="4"/>
        </w:pBdr>
      </w:pPr>
      <w:r>
        <w:rPr>
          <w:rFonts w:hint="eastAsia" w:ascii="宋体" w:hAnsi="宋体"/>
          <w:sz w:val="28"/>
          <w:szCs w:val="28"/>
        </w:rPr>
        <w:t xml:space="preserve">项目概况</w:t>
      </w:r>
      <w:r/>
    </w:p>
    <w:p>
      <w:pPr>
        <w:ind w:firstLine="560"/>
        <w:spacing w:line="440" w:lineRule="exact"/>
        <w:rPr>
          <w:rFonts w:ascii="宋体"/>
          <w:sz w:val="28"/>
          <w:szCs w:val="28"/>
        </w:rPr>
        <w:pBdr>
          <w:top w:val="single" w:color="auto" w:sz="4" w:space="1"/>
          <w:left w:val="single" w:color="auto" w:sz="4" w:space="4"/>
          <w:bottom w:val="single" w:color="auto" w:sz="4" w:space="1"/>
          <w:right w:val="single" w:color="auto" w:sz="4" w:space="4"/>
        </w:pBdr>
      </w:pPr>
      <w:r/>
      <w:bookmarkStart w:id="10" w:name="_Toc35393790"/>
      <w:r/>
      <w:bookmarkStart w:id="11" w:name="_Toc35393621"/>
      <w:r/>
      <w:bookmarkStart w:id="12" w:name="_Toc28359002"/>
      <w:r/>
      <w:bookmarkStart w:id="13" w:name="_Toc28359079"/>
      <w:r/>
      <w:bookmarkStart w:id="14" w:name="_Hlk24379207"/>
      <w:r>
        <w:rPr>
          <w:rFonts w:hint="eastAsia" w:ascii="宋体" w:hAnsi="宋体"/>
          <w:sz w:val="28"/>
          <w:szCs w:val="28"/>
          <w:u w:val="single"/>
        </w:rPr>
        <w:t xml:space="preserve">2026年度泰兴市详细规划调整项目</w:t>
      </w:r>
      <w:r>
        <w:rPr>
          <w:rFonts w:hint="eastAsia" w:ascii="宋体" w:hAnsi="宋体"/>
          <w:sz w:val="28"/>
          <w:szCs w:val="28"/>
          <w:highlight w:val="none"/>
          <w:u w:val="single"/>
        </w:rPr>
        <w:t xml:space="preserve">JSZC-321283-JZCG-G202</w:t>
      </w:r>
      <w:r>
        <w:rPr>
          <w:rFonts w:hint="eastAsia" w:ascii="宋体" w:hAnsi="宋体"/>
          <w:sz w:val="28"/>
          <w:szCs w:val="28"/>
          <w:highlight w:val="none"/>
          <w:u w:val="single"/>
          <w:lang w:val="en-US" w:eastAsia="zh-CN"/>
        </w:rPr>
        <w:t xml:space="preserve">6</w:t>
      </w:r>
      <w:r>
        <w:rPr>
          <w:rFonts w:hint="eastAsia" w:ascii="宋体" w:hAnsi="宋体"/>
          <w:sz w:val="28"/>
          <w:szCs w:val="28"/>
          <w:highlight w:val="none"/>
          <w:u w:val="single"/>
        </w:rPr>
        <w:t xml:space="preserve">-00</w:t>
      </w:r>
      <w:r>
        <w:rPr>
          <w:rFonts w:hint="eastAsia" w:ascii="宋体" w:hAnsi="宋体"/>
          <w:sz w:val="28"/>
          <w:szCs w:val="28"/>
          <w:highlight w:val="none"/>
          <w:u w:val="single"/>
          <w:lang w:val="en-US" w:eastAsia="zh-CN"/>
        </w:rPr>
        <w:t xml:space="preserve">05</w:t>
      </w:r>
      <w:r>
        <w:rPr>
          <w:rFonts w:hint="eastAsia" w:ascii="宋体" w:hAnsi="宋体"/>
          <w:sz w:val="28"/>
          <w:szCs w:val="28"/>
          <w:highlight w:val="none"/>
        </w:rPr>
        <w:t xml:space="preserve">招标项目的潜在投标人应在苏采云获取招标文件，并于202</w:t>
      </w:r>
      <w:r>
        <w:rPr>
          <w:rFonts w:hint="eastAsia" w:ascii="宋体" w:hAnsi="宋体"/>
          <w:sz w:val="28"/>
          <w:szCs w:val="28"/>
          <w:highlight w:val="none"/>
          <w:lang w:val="en-US" w:eastAsia="zh-CN"/>
        </w:rPr>
        <w:t xml:space="preserve">6</w:t>
      </w:r>
      <w:r>
        <w:rPr>
          <w:rFonts w:hint="eastAsia" w:ascii="宋体" w:hAnsi="宋体"/>
          <w:sz w:val="28"/>
          <w:szCs w:val="28"/>
          <w:highlight w:val="none"/>
        </w:rPr>
        <w:t xml:space="preserve">-</w:t>
      </w:r>
      <w:r>
        <w:rPr>
          <w:rFonts w:hint="eastAsia" w:ascii="宋体" w:hAnsi="宋体"/>
          <w:sz w:val="28"/>
          <w:szCs w:val="28"/>
          <w:highlight w:val="none"/>
          <w:lang w:val="en-US" w:eastAsia="zh-CN"/>
        </w:rPr>
        <w:t xml:space="preserve">07</w:t>
      </w:r>
      <w:r>
        <w:rPr>
          <w:rFonts w:hint="eastAsia" w:ascii="宋体" w:hAnsi="宋体"/>
          <w:sz w:val="28"/>
          <w:szCs w:val="28"/>
          <w:highlight w:val="none"/>
        </w:rPr>
        <w:t xml:space="preserve">-</w:t>
      </w:r>
      <w:r>
        <w:rPr>
          <w:rFonts w:hint="eastAsia" w:ascii="宋体" w:hAnsi="宋体"/>
          <w:sz w:val="28"/>
          <w:szCs w:val="28"/>
          <w:highlight w:val="none"/>
          <w:lang w:val="en-US" w:eastAsia="zh-CN"/>
        </w:rPr>
        <w:t xml:space="preserve">14 </w:t>
      </w:r>
      <w:r>
        <w:rPr>
          <w:rFonts w:hint="eastAsia" w:ascii="宋体" w:hAnsi="宋体"/>
          <w:sz w:val="28"/>
          <w:szCs w:val="28"/>
          <w:highlight w:val="none"/>
        </w:rPr>
        <w:t xml:space="preserve"> 0</w:t>
      </w:r>
      <w:r>
        <w:rPr>
          <w:rFonts w:hint="eastAsia" w:ascii="宋体" w:hAnsi="宋体"/>
          <w:sz w:val="28"/>
          <w:szCs w:val="28"/>
          <w:highlight w:val="none"/>
          <w:lang w:val="en-US" w:eastAsia="zh-CN"/>
        </w:rPr>
        <w:t xml:space="preserve">9</w:t>
      </w:r>
      <w:r>
        <w:rPr>
          <w:rFonts w:hint="eastAsia" w:ascii="宋体" w:hAnsi="宋体"/>
          <w:sz w:val="28"/>
          <w:szCs w:val="28"/>
          <w:highlight w:val="none"/>
        </w:rPr>
        <w:t xml:space="preserve">:00（北</w:t>
      </w:r>
      <w:r>
        <w:rPr>
          <w:rFonts w:hint="eastAsia" w:ascii="宋体" w:hAnsi="宋体"/>
          <w:sz w:val="28"/>
          <w:szCs w:val="28"/>
        </w:rPr>
        <w:t xml:space="preserve">京时间）前递交投标文件。</w:t>
      </w:r>
      <w:r/>
    </w:p>
    <w:p>
      <w:pPr>
        <w:ind w:firstLine="643"/>
        <w:keepLines w:val="0"/>
        <w:keepNext w:val="0"/>
        <w:pageBreakBefore w:val="0"/>
        <w:spacing w:line="440" w:lineRule="exact"/>
        <w:widowControl w:val="off"/>
        <w:rPr>
          <w:rFonts w:ascii="Arial" w:hAnsi="Arial" w:eastAsia="Arial"/>
          <w:b/>
          <w:sz w:val="32"/>
          <w:szCs w:val="32"/>
        </w:rPr>
      </w:pPr>
      <w:r>
        <w:rPr>
          <w:rFonts w:hint="eastAsia" w:ascii="Arial" w:hAnsi="Arial" w:eastAsia="Arial"/>
          <w:b/>
          <w:sz w:val="32"/>
          <w:szCs w:val="32"/>
        </w:rPr>
        <w:t xml:space="preserve">一、项目基本情况</w:t>
      </w:r>
      <w:bookmarkEnd w:id="10"/>
      <w:r/>
      <w:bookmarkEnd w:id="11"/>
      <w:r/>
      <w:bookmarkEnd w:id="12"/>
      <w:r/>
      <w:bookmarkEnd w:id="13"/>
      <w:r/>
      <w:r/>
    </w:p>
    <w:p>
      <w:pPr>
        <w:ind w:firstLine="560"/>
        <w:keepLines w:val="0"/>
        <w:keepNext w:val="0"/>
        <w:pageBreakBefore w:val="0"/>
        <w:spacing w:line="44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rPr>
        <w:t xml:space="preserve">项目编号：</w:t>
      </w:r>
      <w:r>
        <w:rPr>
          <w:rFonts w:hint="eastAsia" w:ascii="宋体" w:hAnsi="宋体" w:eastAsia="宋体" w:cs="宋体"/>
          <w:sz w:val="28"/>
          <w:szCs w:val="28"/>
          <w:highlight w:val="none"/>
        </w:rPr>
        <w:t xml:space="preserve">JSZC-321283-JZCG-G202</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-00</w:t>
      </w:r>
      <w:r>
        <w:rPr>
          <w:rFonts w:hint="eastAsia" w:ascii="宋体" w:hAnsi="宋体" w:eastAsia="宋体" w:cs="宋体"/>
          <w:sz w:val="28"/>
          <w:szCs w:val="28"/>
          <w:highlight w:val="none"/>
          <w:lang w:val="en-US" w:eastAsia="zh-CN"/>
        </w:rPr>
        <w:t xml:space="preserve">0</w:t>
      </w:r>
      <w:r>
        <w:rPr>
          <w:rFonts w:hint="eastAsia" w:ascii="宋体" w:hAnsi="宋体" w:cs="宋体"/>
          <w:sz w:val="28"/>
          <w:szCs w:val="28"/>
          <w:highlight w:val="none"/>
          <w:lang w:val="en-US" w:eastAsia="zh-CN"/>
        </w:rPr>
        <w:t xml:space="preserve">5</w:t>
      </w:r>
      <w:r/>
    </w:p>
    <w:p>
      <w:pPr>
        <w:ind w:firstLine="560"/>
        <w:keepLines w:val="0"/>
        <w:keepNext w:val="0"/>
        <w:pageBreakBefore w:val="0"/>
        <w:spacing w:line="440" w:lineRule="exact"/>
        <w:widowControl w:val="off"/>
        <w:rPr>
          <w:rFonts w:hint="eastAsia" w:ascii="宋体" w:hAnsi="宋体" w:eastAsia="宋体" w:cs="宋体"/>
          <w:bCs/>
          <w:sz w:val="32"/>
          <w:szCs w:val="32"/>
          <w:highlight w:val="none"/>
        </w:rPr>
      </w:pPr>
      <w:r>
        <w:rPr>
          <w:rFonts w:hint="eastAsia" w:ascii="宋体" w:hAnsi="宋体" w:eastAsia="宋体" w:cs="宋体"/>
          <w:sz w:val="28"/>
          <w:szCs w:val="28"/>
        </w:rPr>
        <w:t xml:space="preserve">项目名称：</w:t>
      </w:r>
      <w:bookmarkEnd w:id="14"/>
      <w:r>
        <w:rPr>
          <w:rFonts w:hint="eastAsia" w:ascii="宋体" w:hAnsi="宋体" w:eastAsia="宋体" w:cs="宋体"/>
          <w:sz w:val="28"/>
          <w:szCs w:val="28"/>
        </w:rPr>
        <w:t xml:space="preserve">2026年度泰兴市详细规划调整项目</w:t>
      </w:r>
      <w:r/>
    </w:p>
    <w:p>
      <w:pPr>
        <w:ind w:firstLine="560"/>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预算金额：</w:t>
      </w:r>
      <w:r>
        <w:rPr>
          <w:rFonts w:hint="eastAsia" w:ascii="宋体" w:hAnsi="宋体" w:eastAsia="宋体" w:cs="宋体"/>
          <w:sz w:val="28"/>
          <w:szCs w:val="28"/>
          <w:highlight w:val="none"/>
          <w:lang w:val="en-US" w:eastAsia="zh-CN"/>
        </w:rPr>
        <w:t xml:space="preserve">1</w:t>
      </w:r>
      <w:r>
        <w:rPr>
          <w:rFonts w:hint="eastAsia" w:ascii="宋体" w:hAnsi="宋体" w:cs="宋体"/>
          <w:sz w:val="28"/>
          <w:szCs w:val="28"/>
          <w:highlight w:val="none"/>
          <w:lang w:val="en-US" w:eastAsia="zh-CN"/>
        </w:rPr>
        <w:t xml:space="preserve">84</w:t>
      </w:r>
      <w:r>
        <w:rPr>
          <w:rFonts w:hint="eastAsia" w:ascii="宋体" w:hAnsi="宋体" w:eastAsia="宋体" w:cs="宋体"/>
          <w:sz w:val="28"/>
          <w:szCs w:val="28"/>
          <w:highlight w:val="none"/>
        </w:rPr>
        <w:t xml:space="preserve">万元。</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highlight w:val="none"/>
        </w:rPr>
        <w:t xml:space="preserve">最高限价（如有）：1</w:t>
      </w:r>
      <w:r>
        <w:rPr>
          <w:rFonts w:hint="eastAsia" w:ascii="宋体" w:hAnsi="宋体" w:cs="宋体"/>
          <w:sz w:val="28"/>
          <w:szCs w:val="28"/>
          <w:highlight w:val="none"/>
          <w:lang w:val="en-US" w:eastAsia="zh-CN"/>
        </w:rPr>
        <w:t xml:space="preserve">84</w:t>
      </w:r>
      <w:r>
        <w:rPr>
          <w:rFonts w:hint="eastAsia" w:ascii="宋体" w:hAnsi="宋体" w:eastAsia="宋体" w:cs="宋体"/>
          <w:sz w:val="28"/>
          <w:szCs w:val="28"/>
          <w:highlight w:val="none"/>
        </w:rPr>
        <w:t xml:space="preserve">万元</w:t>
      </w:r>
      <w:r>
        <w:rPr>
          <w:rFonts w:hint="eastAsia" w:ascii="宋体" w:hAnsi="宋体" w:eastAsia="宋体" w:cs="宋体"/>
          <w:sz w:val="28"/>
          <w:szCs w:val="28"/>
        </w:rPr>
        <w:t xml:space="preserve">。</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采购需求：</w:t>
      </w:r>
      <w:r>
        <w:rPr>
          <w:rFonts w:hint="eastAsia" w:ascii="宋体" w:hAnsi="宋体" w:eastAsia="宋体" w:cs="宋体"/>
          <w:sz w:val="28"/>
          <w:szCs w:val="28"/>
          <w:lang w:val="en-US" w:eastAsia="zh-CN"/>
        </w:rPr>
        <w:t xml:space="preserve">具体</w:t>
      </w:r>
      <w:r>
        <w:rPr>
          <w:rFonts w:hint="eastAsia" w:ascii="宋体" w:hAnsi="宋体" w:eastAsia="宋体" w:cs="宋体"/>
          <w:sz w:val="28"/>
          <w:szCs w:val="28"/>
        </w:rPr>
        <w:t xml:space="preserve">详见招标文件第五章采购需求。</w:t>
      </w:r>
      <w:r/>
    </w:p>
    <w:p>
      <w:pPr>
        <w:ind w:firstLine="560"/>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rPr>
        <w:t xml:space="preserve">合同履行期限：</w:t>
      </w:r>
      <w:r>
        <w:rPr>
          <w:rFonts w:hint="eastAsia" w:ascii="宋体" w:hAnsi="宋体" w:eastAsia="宋体" w:cs="宋体"/>
          <w:sz w:val="28"/>
          <w:szCs w:val="28"/>
          <w:highlight w:val="none"/>
        </w:rPr>
        <w:t xml:space="preserve">自签订合同之日起</w:t>
      </w:r>
      <w:r>
        <w:rPr>
          <w:rFonts w:hint="eastAsia" w:ascii="宋体" w:hAnsi="宋体" w:cs="宋体"/>
          <w:sz w:val="28"/>
          <w:szCs w:val="28"/>
          <w:highlight w:val="none"/>
          <w:lang w:val="en-US" w:eastAsia="zh-CN"/>
        </w:rPr>
        <w:t xml:space="preserve">一年（365天）</w:t>
      </w:r>
      <w:r>
        <w:rPr>
          <w:rFonts w:hint="eastAsia" w:ascii="宋体" w:hAnsi="宋体" w:eastAsia="宋体" w:cs="宋体"/>
          <w:sz w:val="28"/>
          <w:szCs w:val="28"/>
          <w:highlight w:val="none"/>
        </w:rPr>
        <w:t xml:space="preserve">止。</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本项目（是/否）接受联合体投标：不接受联合体。</w:t>
      </w:r>
      <w:r/>
    </w:p>
    <w:p>
      <w:pPr>
        <w:ind w:firstLine="643"/>
        <w:keepLines w:val="0"/>
        <w:keepNext w:val="0"/>
        <w:pageBreakBefore w:val="0"/>
        <w:spacing w:line="440" w:lineRule="exact"/>
        <w:widowControl w:val="off"/>
        <w:rPr>
          <w:rFonts w:hint="eastAsia" w:ascii="宋体" w:hAnsi="宋体" w:eastAsia="宋体" w:cs="宋体"/>
          <w:b/>
          <w:sz w:val="32"/>
          <w:szCs w:val="32"/>
        </w:rPr>
      </w:pPr>
      <w:r/>
      <w:bookmarkStart w:id="15" w:name="_Toc35393622"/>
      <w:r/>
      <w:bookmarkStart w:id="16" w:name="_Toc28359080"/>
      <w:r/>
      <w:bookmarkStart w:id="17" w:name="_Toc35393791"/>
      <w:r/>
      <w:bookmarkStart w:id="18" w:name="_Toc28359003"/>
      <w:r>
        <w:rPr>
          <w:rFonts w:hint="eastAsia" w:ascii="宋体" w:hAnsi="宋体" w:eastAsia="宋体" w:cs="宋体"/>
          <w:b/>
          <w:sz w:val="32"/>
          <w:szCs w:val="32"/>
        </w:rPr>
        <w:t xml:space="preserve">二、申请人的资格要求：</w:t>
      </w:r>
      <w:bookmarkEnd w:id="15"/>
      <w:r/>
      <w:bookmarkEnd w:id="16"/>
      <w:r/>
      <w:bookmarkEnd w:id="17"/>
      <w:r/>
      <w:bookmarkEnd w:id="18"/>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（一）满足《中华人民共和国政府采购法》第二十二条规定；</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基本资格条件的承诺（根据供应商提供的承诺函，内容完整且具有法人及法定代表人的印章）。</w:t>
      </w:r>
      <w:r/>
    </w:p>
    <w:p>
      <w:pPr>
        <w:ind w:firstLine="560"/>
        <w:keepLines w:val="0"/>
        <w:keepNext w:val="0"/>
        <w:pageBreakBefore w:val="0"/>
        <w:spacing w:line="440" w:lineRule="exact"/>
        <w:widowControl w:val="off"/>
        <w:rPr>
          <w:rFonts w:hint="eastAsia" w:ascii="宋体" w:hAnsi="宋体" w:eastAsia="宋体" w:cs="宋体"/>
          <w:sz w:val="28"/>
          <w:szCs w:val="28"/>
        </w:rPr>
      </w:pPr>
      <w:r/>
      <w:bookmarkStart w:id="19" w:name="_Toc28359004"/>
      <w:r/>
      <w:bookmarkStart w:id="20" w:name="_Toc28359081"/>
      <w:r>
        <w:rPr>
          <w:rFonts w:hint="eastAsia" w:ascii="宋体" w:hAnsi="宋体" w:eastAsia="宋体" w:cs="宋体"/>
          <w:sz w:val="28"/>
          <w:szCs w:val="28"/>
        </w:rPr>
        <w:t xml:space="preserve">（二）落实政府采购政策需满足的资格要求：本项目为非专门面向中小企业的项目。</w:t>
      </w:r>
      <w:bookmarkEnd w:id="19"/>
      <w:r/>
      <w:bookmarkEnd w:id="20"/>
      <w:r/>
      <w:r/>
    </w:p>
    <w:p>
      <w:pPr>
        <w:ind w:firstLine="560"/>
        <w:keepLines w:val="0"/>
        <w:keepNext w:val="0"/>
        <w:pageBreakBefore w:val="0"/>
        <w:spacing w:line="440" w:lineRule="exact"/>
        <w:widowControl w:val="off"/>
        <w:rPr>
          <w:rFonts w:hint="eastAsia" w:ascii="宋体" w:hAnsi="宋体" w:eastAsia="宋体" w:cs="宋体"/>
          <w:sz w:val="28"/>
          <w:szCs w:val="28"/>
          <w:highlight w:val="none"/>
          <w:lang w:eastAsia="zh-CN"/>
        </w:rPr>
      </w:pPr>
      <w:r/>
      <w:bookmarkStart w:id="21" w:name="_Toc28359085"/>
      <w:r/>
      <w:bookmarkStart w:id="22" w:name="_Toc35393627"/>
      <w:r/>
      <w:bookmarkStart w:id="23" w:name="_Toc28359008"/>
      <w:r/>
      <w:bookmarkStart w:id="24" w:name="_Toc35393796"/>
      <w:r>
        <w:rPr>
          <w:rFonts w:hint="eastAsia" w:ascii="宋体" w:hAnsi="宋体" w:eastAsia="宋体" w:cs="宋体"/>
          <w:sz w:val="28"/>
          <w:szCs w:val="28"/>
        </w:rPr>
        <w:t xml:space="preserve">（三）本项目的特定资格要求：供应商具备有效期内城乡规划（国土空间规划）编制乙级及以上资质</w:t>
      </w:r>
      <w:r>
        <w:rPr>
          <w:rFonts w:hint="eastAsia" w:ascii="宋体" w:hAnsi="宋体" w:eastAsia="宋体" w:cs="宋体"/>
          <w:sz w:val="28"/>
          <w:szCs w:val="28"/>
          <w:lang w:eastAsia="zh-CN"/>
        </w:rPr>
        <w:t xml:space="preserve">。</w:t>
      </w:r>
      <w:r/>
    </w:p>
    <w:p>
      <w:pPr>
        <w:ind w:firstLine="643"/>
        <w:keepLines w:val="0"/>
        <w:keepNext w:val="0"/>
        <w:pageBreakBefore w:val="0"/>
        <w:spacing w:line="440" w:lineRule="exact"/>
        <w:widowControl w:val="off"/>
        <w:rPr>
          <w:rFonts w:hint="eastAsia" w:ascii="宋体" w:hAnsi="宋体" w:eastAsia="宋体" w:cs="宋体"/>
          <w:b/>
          <w:sz w:val="32"/>
          <w:szCs w:val="32"/>
        </w:rPr>
      </w:pPr>
      <w:r>
        <w:rPr>
          <w:rFonts w:hint="eastAsia" w:ascii="宋体" w:hAnsi="宋体" w:eastAsia="宋体" w:cs="宋体"/>
          <w:b/>
          <w:sz w:val="32"/>
          <w:szCs w:val="32"/>
        </w:rPr>
        <w:t xml:space="preserve">三、获取招标文件</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时间：自招标文件公告发布之日起5个工作日 </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地点：</w:t>
      </w:r>
      <w:r>
        <w:rPr>
          <w:rFonts w:hint="eastAsia" w:ascii="宋体" w:hAnsi="宋体" w:eastAsia="宋体" w:cs="宋体"/>
          <w:sz w:val="28"/>
          <w:szCs w:val="28"/>
          <w:highlight w:val="none"/>
        </w:rPr>
        <w:t xml:space="preserve">“苏采云”政</w:t>
      </w:r>
      <w:r>
        <w:rPr>
          <w:rFonts w:hint="eastAsia" w:ascii="宋体" w:hAnsi="宋体" w:eastAsia="宋体" w:cs="宋体"/>
          <w:sz w:val="28"/>
          <w:szCs w:val="28"/>
        </w:rPr>
        <w:t xml:space="preserve">府采购一体化平台</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方式：线上获取</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售价：0.00元</w:t>
      </w:r>
      <w:r/>
    </w:p>
    <w:p>
      <w:pPr>
        <w:ind w:firstLine="643"/>
        <w:keepLines w:val="0"/>
        <w:keepNext w:val="0"/>
        <w:pageBreakBefore w:val="0"/>
        <w:spacing w:line="440" w:lineRule="exact"/>
        <w:widowControl w:val="off"/>
        <w:rPr>
          <w:rFonts w:hint="eastAsia" w:ascii="宋体" w:hAnsi="宋体" w:eastAsia="宋体" w:cs="宋体"/>
          <w:b/>
          <w:sz w:val="32"/>
          <w:szCs w:val="32"/>
        </w:rPr>
      </w:pPr>
      <w:r/>
      <w:bookmarkStart w:id="25" w:name="_Toc28359082"/>
      <w:r/>
      <w:bookmarkStart w:id="26" w:name="_Toc28359005"/>
      <w:r/>
      <w:bookmarkStart w:id="27" w:name="_Toc35393793"/>
      <w:r/>
      <w:bookmarkStart w:id="28" w:name="_Toc35393624"/>
      <w:r>
        <w:rPr>
          <w:rFonts w:hint="eastAsia" w:ascii="宋体" w:hAnsi="宋体" w:eastAsia="宋体" w:cs="宋体"/>
          <w:b/>
          <w:sz w:val="32"/>
          <w:szCs w:val="32"/>
        </w:rPr>
        <w:t xml:space="preserve">四、提交投标文件</w:t>
      </w:r>
      <w:bookmarkEnd w:id="25"/>
      <w:r/>
      <w:bookmarkEnd w:id="26"/>
      <w:r>
        <w:rPr>
          <w:rFonts w:hint="eastAsia" w:ascii="宋体" w:hAnsi="宋体" w:eastAsia="宋体" w:cs="宋体"/>
          <w:b/>
          <w:sz w:val="32"/>
          <w:szCs w:val="32"/>
        </w:rPr>
        <w:t xml:space="preserve">截止时间、开标时间和地点</w:t>
      </w:r>
      <w:bookmarkEnd w:id="27"/>
      <w:r/>
      <w:bookmarkEnd w:id="28"/>
      <w:r/>
      <w:r/>
    </w:p>
    <w:p>
      <w:pPr>
        <w:ind w:left="561"/>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2026-0</w:t>
      </w:r>
      <w:r>
        <w:rPr>
          <w:rFonts w:hint="eastAsia" w:ascii="宋体" w:hAnsi="宋体" w:cs="宋体"/>
          <w:sz w:val="28"/>
          <w:szCs w:val="28"/>
          <w:highlight w:val="none"/>
          <w:lang w:val="en-US" w:eastAsia="zh-CN"/>
        </w:rPr>
        <w:t xml:space="preserve">7</w:t>
      </w: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14</w:t>
      </w:r>
      <w:r>
        <w:rPr>
          <w:rFonts w:hint="eastAsia" w:ascii="宋体" w:hAnsi="宋体" w:eastAsia="宋体" w:cs="宋体"/>
          <w:sz w:val="28"/>
          <w:szCs w:val="28"/>
          <w:highlight w:val="none"/>
        </w:rPr>
        <w:t xml:space="preserve">  0</w:t>
      </w:r>
      <w:r>
        <w:rPr>
          <w:rFonts w:hint="eastAsia" w:ascii="宋体" w:hAnsi="宋体" w:cs="宋体"/>
          <w:sz w:val="28"/>
          <w:szCs w:val="28"/>
          <w:highlight w:val="none"/>
          <w:lang w:val="en-US" w:eastAsia="zh-CN"/>
        </w:rPr>
        <w:t xml:space="preserve">9</w:t>
      </w:r>
      <w:r>
        <w:rPr>
          <w:rFonts w:hint="eastAsia" w:ascii="宋体" w:hAnsi="宋体" w:eastAsia="宋体" w:cs="宋体"/>
          <w:sz w:val="28"/>
          <w:szCs w:val="28"/>
          <w:highlight w:val="none"/>
        </w:rPr>
        <w:t xml:space="preserve">:00（北京时间）</w:t>
      </w:r>
      <w:r/>
    </w:p>
    <w:p>
      <w:pPr>
        <w:ind w:left="561"/>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highlight w:val="none"/>
        </w:rPr>
        <w:t xml:space="preserve">地点：</w:t>
      </w:r>
      <w:r>
        <w:rPr>
          <w:rFonts w:hint="eastAsia" w:ascii="宋体" w:hAnsi="宋体" w:cs="宋体"/>
          <w:sz w:val="28"/>
          <w:szCs w:val="28"/>
          <w:highlight w:val="none"/>
        </w:rPr>
        <w:t xml:space="preserve">“苏采云”政</w:t>
      </w:r>
      <w:r>
        <w:rPr>
          <w:rFonts w:hint="eastAsia" w:ascii="宋体" w:hAnsi="宋体" w:cs="宋体"/>
          <w:sz w:val="28"/>
          <w:szCs w:val="28"/>
        </w:rPr>
        <w:t xml:space="preserve">府采购交易系统网上开标大厅。</w:t>
      </w:r>
      <w:r/>
    </w:p>
    <w:p>
      <w:pPr>
        <w:ind w:firstLine="643"/>
        <w:keepLines w:val="0"/>
        <w:keepNext w:val="0"/>
        <w:pageBreakBefore w:val="0"/>
        <w:spacing w:line="440" w:lineRule="exact"/>
        <w:widowControl w:val="off"/>
        <w:rPr>
          <w:rFonts w:hint="eastAsia" w:ascii="宋体" w:hAnsi="宋体" w:eastAsia="宋体" w:cs="宋体"/>
          <w:b/>
          <w:sz w:val="32"/>
          <w:szCs w:val="32"/>
        </w:rPr>
      </w:pPr>
      <w:r/>
      <w:bookmarkStart w:id="29" w:name="_Toc35393625"/>
      <w:r/>
      <w:bookmarkStart w:id="30" w:name="_Toc35393794"/>
      <w:r/>
      <w:bookmarkStart w:id="31" w:name="_Toc28359007"/>
      <w:r/>
      <w:bookmarkStart w:id="32" w:name="_Toc28359084"/>
      <w:r>
        <w:rPr>
          <w:rFonts w:hint="eastAsia" w:ascii="宋体" w:hAnsi="宋体" w:eastAsia="宋体" w:cs="宋体"/>
          <w:b/>
          <w:sz w:val="32"/>
          <w:szCs w:val="32"/>
        </w:rPr>
        <w:t xml:space="preserve">五、公告期限</w:t>
      </w:r>
      <w:bookmarkEnd w:id="29"/>
      <w:r/>
      <w:bookmarkEnd w:id="30"/>
      <w:r/>
      <w:bookmarkEnd w:id="31"/>
      <w:r/>
      <w:bookmarkEnd w:id="32"/>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自本公告发布之日起5个工作日。</w:t>
      </w:r>
      <w:r/>
    </w:p>
    <w:p>
      <w:pPr>
        <w:ind w:firstLine="643"/>
        <w:keepLines w:val="0"/>
        <w:keepNext w:val="0"/>
        <w:pageBreakBefore w:val="0"/>
        <w:spacing w:line="440" w:lineRule="exact"/>
        <w:widowControl w:val="off"/>
        <w:rPr>
          <w:rFonts w:hint="eastAsia" w:ascii="宋体" w:hAnsi="宋体" w:eastAsia="宋体" w:cs="宋体"/>
          <w:b/>
          <w:sz w:val="32"/>
          <w:szCs w:val="32"/>
        </w:rPr>
      </w:pPr>
      <w:r/>
      <w:bookmarkStart w:id="33" w:name="_Toc35393626"/>
      <w:r/>
      <w:bookmarkStart w:id="34" w:name="_Toc35393795"/>
      <w:r>
        <w:rPr>
          <w:rFonts w:hint="eastAsia" w:ascii="宋体" w:hAnsi="宋体" w:eastAsia="宋体" w:cs="宋体"/>
          <w:b/>
          <w:sz w:val="32"/>
          <w:szCs w:val="32"/>
        </w:rPr>
        <w:t xml:space="preserve">六、其他补充事宜</w:t>
      </w:r>
      <w:bookmarkEnd w:id="33"/>
      <w:r/>
      <w:bookmarkEnd w:id="34"/>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1.投标保证金：无。</w:t>
      </w:r>
      <w:r/>
    </w:p>
    <w:p>
      <w:pPr>
        <w:ind w:firstLine="562"/>
        <w:keepLines w:val="0"/>
        <w:keepNext w:val="0"/>
        <w:pageBreakBefore w:val="0"/>
        <w:spacing w:line="440" w:lineRule="exact"/>
        <w:widowControl w:val="off"/>
        <w:rPr>
          <w:rFonts w:hint="eastAsia" w:ascii="宋体" w:hAnsi="宋体" w:eastAsia="宋体" w:cs="宋体"/>
          <w:b/>
          <w:color w:val="ff0000"/>
          <w:sz w:val="28"/>
          <w:szCs w:val="28"/>
        </w:rPr>
      </w:pPr>
      <w:r>
        <w:rPr>
          <w:rFonts w:hint="eastAsia" w:ascii="宋体" w:hAnsi="宋体" w:eastAsia="宋体" w:cs="宋体"/>
          <w:b/>
          <w:color w:val="ff0000"/>
          <w:sz w:val="28"/>
          <w:szCs w:val="28"/>
        </w:rPr>
        <w:t xml:space="preserve">2.</w:t>
      </w:r>
      <w:r>
        <w:rPr>
          <w:rFonts w:hint="eastAsia" w:ascii="宋体" w:hAnsi="宋体" w:eastAsia="宋体" w:cs="宋体"/>
          <w:b/>
          <w:color w:val="ff0000"/>
        </w:rPr>
        <w:t xml:space="preserve"> </w:t>
      </w:r>
      <w:r>
        <w:rPr>
          <w:rFonts w:hint="eastAsia" w:ascii="宋体" w:hAnsi="宋体" w:eastAsia="宋体" w:cs="宋体"/>
          <w:b/>
          <w:color w:val="ff0000"/>
          <w:sz w:val="28"/>
          <w:szCs w:val="28"/>
        </w:rPr>
        <w:t xml:space="preserve">注意事项：</w:t>
      </w:r>
      <w:r/>
    </w:p>
    <w:p>
      <w:pPr>
        <w:ind w:firstLine="562"/>
        <w:keepLines w:val="0"/>
        <w:keepNext w:val="0"/>
        <w:pageBreakBefore w:val="0"/>
        <w:spacing w:line="440" w:lineRule="exact"/>
        <w:widowControl w:val="off"/>
        <w:rPr>
          <w:rFonts w:hint="eastAsia" w:ascii="宋体" w:hAnsi="宋体" w:eastAsia="宋体" w:cs="宋体"/>
          <w:b/>
          <w:color w:val="ff0000"/>
          <w:sz w:val="28"/>
          <w:szCs w:val="28"/>
        </w:rPr>
      </w:pPr>
      <w:r>
        <w:rPr>
          <w:rFonts w:hint="eastAsia" w:ascii="宋体" w:hAnsi="宋体" w:eastAsia="宋体" w:cs="宋体"/>
          <w:b/>
          <w:color w:val="ff0000"/>
          <w:sz w:val="28"/>
          <w:szCs w:val="28"/>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562"/>
        <w:keepLines w:val="0"/>
        <w:keepNext w:val="0"/>
        <w:pageBreakBefore w:val="0"/>
        <w:spacing w:line="440" w:lineRule="exact"/>
        <w:widowControl w:val="off"/>
        <w:rPr>
          <w:rFonts w:hint="eastAsia" w:ascii="宋体" w:hAnsi="宋体" w:eastAsia="宋体" w:cs="宋体"/>
          <w:b/>
          <w:color w:val="ff0000"/>
          <w:sz w:val="28"/>
          <w:szCs w:val="28"/>
        </w:rPr>
      </w:pPr>
      <w:r>
        <w:rPr>
          <w:rFonts w:hint="eastAsia" w:ascii="宋体" w:hAnsi="宋体" w:eastAsia="宋体" w:cs="宋体"/>
          <w:b/>
          <w:color w:val="ff0000"/>
          <w:sz w:val="28"/>
          <w:szCs w:val="28"/>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ind w:firstLine="562"/>
        <w:keepLines w:val="0"/>
        <w:keepNext w:val="0"/>
        <w:pageBreakBefore w:val="0"/>
        <w:spacing w:line="440" w:lineRule="exact"/>
        <w:widowControl w:val="off"/>
        <w:rPr>
          <w:rFonts w:hint="eastAsia" w:ascii="宋体" w:hAnsi="宋体" w:eastAsia="宋体" w:cs="宋体"/>
          <w:b/>
          <w:color w:val="ff0000"/>
          <w:sz w:val="28"/>
          <w:szCs w:val="28"/>
        </w:rPr>
      </w:pPr>
      <w:r>
        <w:rPr>
          <w:rFonts w:hint="eastAsia" w:ascii="宋体" w:hAnsi="宋体" w:eastAsia="宋体" w:cs="宋体"/>
          <w:b/>
          <w:color w:val="ff0000"/>
          <w:sz w:val="28"/>
          <w:szCs w:val="28"/>
        </w:rPr>
        <w:t xml:space="preserve">（3）有关本次招标的事项若存在变动或修改，敬请及时关注“江苏政府采购网”发布的更正公告。</w:t>
      </w:r>
      <w:r/>
    </w:p>
    <w:p>
      <w:pPr>
        <w:ind w:firstLine="562"/>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b/>
          <w:color w:val="ff0000"/>
          <w:sz w:val="28"/>
          <w:szCs w:val="28"/>
        </w:rPr>
        <w:t xml:space="preserve">如潜在投标人未按上述要求操作，将自行承担所产生的风险。</w:t>
      </w:r>
      <w:r/>
    </w:p>
    <w:p>
      <w:pPr>
        <w:ind w:firstLine="643"/>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b/>
          <w:sz w:val="32"/>
          <w:szCs w:val="32"/>
        </w:rPr>
        <w:t xml:space="preserve">七、对本次招标提出询问，请按以下方式联系。</w:t>
      </w:r>
      <w:bookmarkEnd w:id="21"/>
      <w:r/>
      <w:bookmarkEnd w:id="22"/>
      <w:r/>
      <w:bookmarkEnd w:id="23"/>
      <w:r/>
      <w:bookmarkEnd w:id="24"/>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1.采购人信息</w:t>
      </w:r>
      <w:r/>
    </w:p>
    <w:p>
      <w:pPr>
        <w:ind w:firstLine="560"/>
        <w:keepLines w:val="0"/>
        <w:keepNext w:val="0"/>
        <w:pageBreakBefore w:val="0"/>
        <w:spacing w:line="440" w:lineRule="exact"/>
        <w:widowControl w:val="off"/>
        <w:rPr>
          <w:rFonts w:hint="eastAsia" w:ascii="宋体" w:hAnsi="宋体" w:eastAsia="宋体" w:cs="宋体"/>
          <w:sz w:val="28"/>
          <w:szCs w:val="28"/>
        </w:rPr>
      </w:pPr>
      <w:r/>
      <w:bookmarkStart w:id="35" w:name="_Toc28359009"/>
      <w:r/>
      <w:bookmarkStart w:id="36" w:name="_Toc28359086"/>
      <w:r>
        <w:rPr>
          <w:rFonts w:hint="eastAsia" w:ascii="宋体" w:hAnsi="宋体" w:eastAsia="宋体" w:cs="宋体"/>
          <w:sz w:val="28"/>
          <w:szCs w:val="28"/>
        </w:rPr>
        <w:t xml:space="preserve">名 称：泰兴市自然资源和规划局 </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地 址： 泰兴市文昌东路6号    </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联系方式</w:t>
      </w:r>
      <w:r>
        <w:rPr>
          <w:rFonts w:hint="eastAsia" w:ascii="宋体" w:hAnsi="宋体" w:eastAsia="宋体" w:cs="宋体"/>
          <w:sz w:val="28"/>
          <w:szCs w:val="28"/>
          <w:highlight w:val="none"/>
        </w:rPr>
        <w:t xml:space="preserve">：</w:t>
      </w:r>
      <w:r>
        <w:rPr>
          <w:rFonts w:hint="eastAsia" w:ascii="宋体" w:hAnsi="宋体" w:eastAsia="宋体" w:cs="宋体"/>
          <w:color w:val="auto"/>
          <w:sz w:val="28"/>
          <w:szCs w:val="28"/>
          <w:highlight w:val="none"/>
        </w:rPr>
        <w:t xml:space="preserve">0523-</w:t>
      </w:r>
      <w:r>
        <w:rPr>
          <w:rFonts w:hint="eastAsia" w:ascii="宋体" w:hAnsi="宋体" w:eastAsia="宋体" w:cs="宋体"/>
          <w:sz w:val="28"/>
          <w:szCs w:val="28"/>
          <w:lang w:val="en-US" w:eastAsia="zh-CN"/>
        </w:rPr>
        <w:t xml:space="preserve">8072</w:t>
      </w:r>
      <w:r>
        <w:rPr>
          <w:rFonts w:hint="eastAsia" w:ascii="宋体" w:hAnsi="宋体" w:cs="宋体"/>
          <w:sz w:val="28"/>
          <w:szCs w:val="28"/>
          <w:lang w:val="en-US" w:eastAsia="zh-CN"/>
        </w:rPr>
        <w:t xml:space="preserve">1685</w:t>
      </w:r>
      <w:r>
        <w:rPr>
          <w:rFonts w:hint="eastAsia" w:ascii="宋体" w:hAnsi="宋体" w:eastAsia="宋体" w:cs="宋体"/>
          <w:color w:val="auto"/>
          <w:sz w:val="28"/>
          <w:szCs w:val="28"/>
          <w:highlight w:val="none"/>
        </w:rPr>
        <w:t xml:space="preserve"> </w:t>
      </w:r>
      <w:r>
        <w:rPr>
          <w:rFonts w:hint="eastAsia" w:ascii="宋体" w:hAnsi="宋体" w:eastAsia="宋体" w:cs="宋体"/>
          <w:sz w:val="28"/>
          <w:szCs w:val="28"/>
          <w:highlight w:val="none"/>
        </w:rPr>
        <w:t xml:space="preserve">  </w:t>
      </w:r>
      <w:r>
        <w:rPr>
          <w:rFonts w:hint="eastAsia" w:ascii="宋体" w:hAnsi="宋体" w:eastAsia="宋体" w:cs="宋体"/>
          <w:sz w:val="28"/>
          <w:szCs w:val="28"/>
        </w:rPr>
        <w:t xml:space="preserve"> </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2.采购代理机构信息</w:t>
      </w:r>
      <w:bookmarkEnd w:id="35"/>
      <w:r/>
      <w:bookmarkEnd w:id="36"/>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名 称：泰兴市公共资源交易中心</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地　址：泰兴市文昌东路62号四楼40</w:t>
      </w:r>
      <w:r>
        <w:rPr>
          <w:rFonts w:hint="eastAsia" w:ascii="宋体" w:hAnsi="宋体" w:cs="宋体"/>
          <w:sz w:val="28"/>
          <w:szCs w:val="28"/>
          <w:lang w:val="en-US" w:eastAsia="zh-CN"/>
        </w:rPr>
        <w:t xml:space="preserve">2</w:t>
      </w:r>
      <w:r>
        <w:rPr>
          <w:rFonts w:hint="eastAsia" w:ascii="宋体" w:hAnsi="宋体" w:eastAsia="宋体" w:cs="宋体"/>
          <w:sz w:val="28"/>
          <w:szCs w:val="28"/>
        </w:rPr>
        <w:t xml:space="preserve">室</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联系方式：</w:t>
      </w:r>
      <w:bookmarkStart w:id="37" w:name="_Toc28359010"/>
      <w:r/>
      <w:bookmarkStart w:id="38" w:name="_Toc28359087"/>
      <w:r>
        <w:rPr>
          <w:rFonts w:hint="eastAsia" w:ascii="宋体" w:hAnsi="宋体" w:eastAsia="宋体" w:cs="宋体"/>
          <w:sz w:val="28"/>
          <w:szCs w:val="28"/>
        </w:rPr>
        <w:t xml:space="preserve"> 0523-87654122             </w:t>
      </w:r>
      <w:bookmarkEnd w:id="37"/>
      <w:r/>
      <w:bookmarkEnd w:id="38"/>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3.项目联系方式</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项目联系人：泰兴市自然资源和规划局   </w:t>
      </w:r>
      <w:r>
        <w:rPr>
          <w:rFonts w:hint="eastAsia" w:ascii="宋体" w:hAnsi="宋体" w:cs="宋体"/>
          <w:sz w:val="28"/>
          <w:szCs w:val="28"/>
          <w:lang w:val="en-US" w:eastAsia="zh-CN"/>
        </w:rPr>
        <w:t xml:space="preserve">关</w:t>
      </w:r>
      <w:r>
        <w:rPr>
          <w:rFonts w:hint="eastAsia" w:ascii="宋体" w:hAnsi="宋体" w:eastAsia="宋体" w:cs="宋体"/>
          <w:sz w:val="28"/>
          <w:szCs w:val="28"/>
          <w:lang w:val="en-US" w:eastAsia="zh-CN"/>
        </w:rPr>
        <w:t xml:space="preserve">女士</w:t>
      </w:r>
      <w:r>
        <w:rPr>
          <w:rFonts w:hint="eastAsia" w:ascii="宋体" w:hAnsi="宋体" w:eastAsia="宋体" w:cs="宋体"/>
          <w:sz w:val="28"/>
          <w:szCs w:val="28"/>
        </w:rPr>
        <w:t xml:space="preserve"> </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电　话：0523-</w:t>
      </w:r>
      <w:r>
        <w:rPr>
          <w:rFonts w:hint="eastAsia" w:ascii="宋体" w:hAnsi="宋体" w:eastAsia="宋体" w:cs="宋体"/>
          <w:sz w:val="28"/>
          <w:szCs w:val="28"/>
          <w:lang w:val="en-US" w:eastAsia="zh-CN"/>
        </w:rPr>
        <w:t xml:space="preserve">807216</w:t>
      </w:r>
      <w:r>
        <w:rPr>
          <w:rFonts w:hint="eastAsia" w:ascii="宋体" w:hAnsi="宋体" w:cs="宋体"/>
          <w:sz w:val="28"/>
          <w:szCs w:val="28"/>
          <w:lang w:val="en-US" w:eastAsia="zh-CN"/>
        </w:rPr>
        <w:t xml:space="preserve">85</w:t>
      </w:r>
      <w:r>
        <w:rPr>
          <w:rFonts w:hint="eastAsia" w:ascii="宋体" w:hAnsi="宋体" w:eastAsia="宋体" w:cs="宋体"/>
          <w:sz w:val="28"/>
          <w:szCs w:val="28"/>
        </w:rPr>
        <w:t xml:space="preserve">    </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项目联系人：泰兴市公共资源交易中心   黄女士</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电　话：0523-87654122</w:t>
      </w:r>
      <w:r/>
    </w:p>
    <w:p>
      <w:pPr>
        <w:pStyle w:val="650"/>
      </w:pPr>
      <w:r/>
      <w:r/>
    </w:p>
    <w:p>
      <w:pPr>
        <w:pStyle w:val="665"/>
        <w:ind w:left="0" w:firstLine="0"/>
        <w:jc w:val="center"/>
        <w:rPr>
          <w:rFonts w:ascii="黑体" w:hAnsi="黑体" w:eastAsia="黑体"/>
          <w:b/>
          <w:bCs/>
          <w:color w:val="auto"/>
          <w:szCs w:val="32"/>
        </w:rPr>
      </w:pPr>
      <w:r/>
      <w:bookmarkStart w:id="39" w:name="_Toc426469869"/>
      <w:r/>
      <w:bookmarkStart w:id="40" w:name="_Toc523127445"/>
      <w:r/>
      <w:bookmarkStart w:id="41" w:name="_Toc479757206"/>
      <w:r/>
      <w:bookmarkStart w:id="42" w:name="_Toc16938516"/>
      <w:r/>
      <w:bookmarkStart w:id="43" w:name="_Toc382813885"/>
      <w:r/>
      <w:bookmarkStart w:id="44" w:name="_Toc382812472"/>
      <w:r/>
      <w:bookmarkStart w:id="45" w:name="_Toc513029200"/>
      <w:r/>
      <w:bookmarkStart w:id="46" w:name="_Toc20823272"/>
      <w:r/>
      <w:bookmarkStart w:id="47" w:name="_Toc382813966"/>
      <w:r>
        <w:rPr>
          <w:szCs w:val="32"/>
        </w:rPr>
        <w:br w:type="page" w:clear="all"/>
      </w:r>
      <w:r>
        <w:rPr>
          <w:rFonts w:hint="eastAsia" w:ascii="黑体" w:hAnsi="黑体" w:eastAsia="黑体"/>
          <w:b/>
          <w:bCs/>
          <w:color w:val="auto"/>
        </w:rPr>
        <w:t xml:space="preserve">第二章</w:t>
      </w:r>
      <w:r>
        <w:rPr>
          <w:rFonts w:ascii="黑体" w:hAnsi="黑体" w:eastAsia="黑体"/>
          <w:b/>
          <w:bCs/>
          <w:color w:val="auto"/>
        </w:rPr>
        <w:t xml:space="preserve"> </w:t>
      </w:r>
      <w:r>
        <w:rPr>
          <w:rFonts w:hint="eastAsia" w:ascii="黑体" w:hAnsi="黑体" w:eastAsia="黑体"/>
          <w:b/>
          <w:bCs/>
          <w:color w:val="auto"/>
        </w:rPr>
        <w:t xml:space="preserve">供应商须知</w:t>
      </w:r>
      <w:bookmarkEnd w:id="39"/>
      <w:r/>
      <w:r/>
    </w:p>
    <w:p>
      <w:pPr>
        <w:rPr>
          <w:sz w:val="28"/>
          <w:szCs w:val="28"/>
        </w:rPr>
      </w:pPr>
      <w:r/>
      <w:bookmarkStart w:id="48" w:name="_Toc426469870"/>
      <w:r>
        <w:rPr>
          <w:rFonts w:hint="eastAsia"/>
          <w:sz w:val="28"/>
          <w:szCs w:val="28"/>
        </w:rPr>
        <w:t xml:space="preserve">供应商须知前附表</w:t>
      </w:r>
      <w:bookmarkEnd w:id="48"/>
      <w:r/>
      <w:r/>
    </w:p>
    <w:tbl>
      <w:tblPr>
        <w:tblStyle w:val="6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521"/>
        <w:gridCol w:w="31"/>
        <w:gridCol w:w="5987"/>
      </w:tblGrid>
      <w:tr>
        <w:trPr>
          <w:jc w:val="center"/>
          <w:trHeight w:val="392"/>
        </w:trPr>
        <w:tc>
          <w:tcPr>
            <w:tcW w:w="108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条款号</w:t>
            </w:r>
            <w:r/>
          </w:p>
        </w:tc>
        <w:tc>
          <w:tcPr>
            <w:gridSpan w:val="2"/>
            <w:tcW w:w="2552"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条</w:t>
            </w:r>
            <w:r>
              <w:rPr>
                <w:rFonts w:ascii="宋体" w:hAnsi="宋体"/>
                <w:b/>
                <w:sz w:val="28"/>
                <w:szCs w:val="28"/>
              </w:rPr>
              <w:t xml:space="preserve"> </w:t>
            </w:r>
            <w:r>
              <w:rPr>
                <w:rFonts w:hint="eastAsia" w:ascii="宋体" w:hAnsi="宋体"/>
                <w:b/>
                <w:sz w:val="28"/>
                <w:szCs w:val="28"/>
              </w:rPr>
              <w:t xml:space="preserve">款</w:t>
            </w:r>
            <w:r>
              <w:rPr>
                <w:rFonts w:ascii="宋体" w:hAnsi="宋体"/>
                <w:b/>
                <w:sz w:val="28"/>
                <w:szCs w:val="28"/>
              </w:rPr>
              <w:t xml:space="preserve"> </w:t>
            </w:r>
            <w:r>
              <w:rPr>
                <w:rFonts w:hint="eastAsia" w:ascii="宋体" w:hAnsi="宋体"/>
                <w:b/>
                <w:sz w:val="28"/>
                <w:szCs w:val="28"/>
              </w:rPr>
              <w:t xml:space="preserve">名</w:t>
            </w:r>
            <w:r>
              <w:rPr>
                <w:rFonts w:ascii="宋体" w:hAnsi="宋体"/>
                <w:b/>
                <w:sz w:val="28"/>
                <w:szCs w:val="28"/>
              </w:rPr>
              <w:t xml:space="preserve"> </w:t>
            </w:r>
            <w:r>
              <w:rPr>
                <w:rFonts w:hint="eastAsia" w:ascii="宋体" w:hAnsi="宋体"/>
                <w:b/>
                <w:sz w:val="28"/>
                <w:szCs w:val="28"/>
              </w:rPr>
              <w:t xml:space="preserve">称</w:t>
            </w:r>
            <w:r/>
          </w:p>
        </w:tc>
        <w:tc>
          <w:tcPr>
            <w:tcW w:w="5987"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编</w:t>
            </w:r>
            <w:r>
              <w:rPr>
                <w:rFonts w:ascii="宋体" w:hAnsi="宋体"/>
                <w:b/>
                <w:sz w:val="28"/>
                <w:szCs w:val="28"/>
              </w:rPr>
              <w:t xml:space="preserve">  </w:t>
            </w:r>
            <w:r>
              <w:rPr>
                <w:rFonts w:hint="eastAsia" w:ascii="宋体" w:hAnsi="宋体"/>
                <w:b/>
                <w:sz w:val="28"/>
                <w:szCs w:val="28"/>
              </w:rPr>
              <w:t xml:space="preserve">列</w:t>
            </w:r>
            <w:r>
              <w:rPr>
                <w:rFonts w:ascii="宋体" w:hAnsi="宋体"/>
                <w:b/>
                <w:sz w:val="28"/>
                <w:szCs w:val="28"/>
              </w:rPr>
              <w:t xml:space="preserve">  </w:t>
            </w:r>
            <w:r>
              <w:rPr>
                <w:rFonts w:hint="eastAsia" w:ascii="宋体" w:hAnsi="宋体"/>
                <w:b/>
                <w:sz w:val="28"/>
                <w:szCs w:val="28"/>
              </w:rPr>
              <w:t xml:space="preserve">内</w:t>
            </w:r>
            <w:r>
              <w:rPr>
                <w:rFonts w:ascii="宋体" w:hAnsi="宋体"/>
                <w:b/>
                <w:sz w:val="28"/>
                <w:szCs w:val="28"/>
              </w:rPr>
              <w:t xml:space="preserve">  </w:t>
            </w:r>
            <w:r>
              <w:rPr>
                <w:rFonts w:hint="eastAsia" w:ascii="宋体" w:hAnsi="宋体"/>
                <w:b/>
                <w:sz w:val="28"/>
                <w:szCs w:val="28"/>
              </w:rPr>
              <w:t xml:space="preserve">容</w:t>
            </w:r>
            <w:r/>
          </w:p>
        </w:tc>
      </w:tr>
      <w:tr>
        <w:trPr>
          <w:jc w:val="center"/>
          <w:trHeight w:val="1553"/>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招标人</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名称：泰兴市自然资源和规划局</w:t>
            </w:r>
            <w:r/>
          </w:p>
          <w:p>
            <w:pPr>
              <w:jc w:val="left"/>
              <w:spacing w:line="360" w:lineRule="exact"/>
              <w:rPr>
                <w:rFonts w:ascii="宋体" w:hAnsi="宋体"/>
                <w:sz w:val="28"/>
                <w:szCs w:val="28"/>
              </w:rPr>
            </w:pPr>
            <w:r>
              <w:rPr>
                <w:rFonts w:hint="eastAsia" w:ascii="宋体" w:hAnsi="宋体"/>
                <w:sz w:val="28"/>
                <w:szCs w:val="28"/>
              </w:rPr>
              <w:t xml:space="preserve">地址：泰兴市文昌东路6号</w:t>
            </w:r>
            <w:r/>
          </w:p>
          <w:p>
            <w:pPr>
              <w:jc w:val="left"/>
              <w:spacing w:line="360" w:lineRule="exact"/>
              <w:rPr>
                <w:rFonts w:hint="default" w:ascii="宋体" w:hAnsi="宋体" w:eastAsia="宋体"/>
                <w:sz w:val="28"/>
                <w:szCs w:val="28"/>
                <w:lang w:val="en-US" w:eastAsia="zh-CN"/>
              </w:rPr>
            </w:pPr>
            <w:r>
              <w:rPr>
                <w:rFonts w:hint="eastAsia" w:ascii="宋体" w:hAnsi="宋体"/>
                <w:sz w:val="28"/>
                <w:szCs w:val="28"/>
              </w:rPr>
              <w:t xml:space="preserve">联系人：</w:t>
            </w:r>
            <w:r>
              <w:rPr>
                <w:rFonts w:hint="eastAsia" w:ascii="宋体" w:hAnsi="宋体"/>
                <w:sz w:val="28"/>
                <w:szCs w:val="28"/>
                <w:lang w:val="en-US" w:eastAsia="zh-CN"/>
              </w:rPr>
              <w:t xml:space="preserve">关女士</w:t>
            </w:r>
            <w:r/>
          </w:p>
          <w:p>
            <w:pPr>
              <w:jc w:val="left"/>
              <w:spacing w:line="360" w:lineRule="exact"/>
              <w:rPr>
                <w:rFonts w:hint="default" w:ascii="宋体" w:hAnsi="宋体"/>
                <w:sz w:val="28"/>
                <w:szCs w:val="28"/>
                <w:lang w:val="en-US"/>
              </w:rPr>
            </w:pPr>
            <w:r>
              <w:rPr>
                <w:rFonts w:hint="eastAsia" w:ascii="宋体" w:hAnsi="宋体"/>
                <w:sz w:val="28"/>
                <w:szCs w:val="28"/>
              </w:rPr>
              <w:t xml:space="preserve">联系电话</w:t>
            </w:r>
            <w:r>
              <w:rPr>
                <w:rFonts w:hint="eastAsia" w:ascii="宋体" w:hAnsi="宋体" w:eastAsia="宋体" w:cs="宋体"/>
                <w:sz w:val="28"/>
                <w:szCs w:val="28"/>
              </w:rPr>
              <w:t xml:space="preserve">：0523-</w:t>
            </w:r>
            <w:r>
              <w:rPr>
                <w:rFonts w:hint="eastAsia" w:ascii="宋体" w:hAnsi="宋体" w:eastAsia="宋体" w:cs="宋体"/>
                <w:sz w:val="28"/>
                <w:szCs w:val="28"/>
                <w:lang w:val="en-US" w:eastAsia="zh-CN"/>
              </w:rPr>
              <w:t xml:space="preserve">807216</w:t>
            </w:r>
            <w:r>
              <w:rPr>
                <w:rFonts w:hint="eastAsia" w:ascii="宋体" w:hAnsi="宋体" w:cs="宋体"/>
                <w:sz w:val="28"/>
                <w:szCs w:val="28"/>
                <w:lang w:val="en-US" w:eastAsia="zh-CN"/>
              </w:rPr>
              <w:t xml:space="preserve">85</w:t>
            </w:r>
            <w:r/>
          </w:p>
        </w:tc>
      </w:tr>
      <w:tr>
        <w:trPr>
          <w:jc w:val="center"/>
          <w:trHeight w:val="1443"/>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1.1.3</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采购代理机构</w:t>
            </w:r>
            <w:r/>
          </w:p>
        </w:tc>
        <w:tc>
          <w:tcPr>
            <w:tcW w:w="5987" w:type="dxa"/>
            <w:vAlign w:val="center"/>
            <w:textDirection w:val="lrTb"/>
            <w:noWrap w:val="false"/>
          </w:tcPr>
          <w:p>
            <w:pPr>
              <w:jc w:val="left"/>
              <w:spacing w:line="360" w:lineRule="exact"/>
              <w:rPr>
                <w:rFonts w:ascii="宋体"/>
                <w:sz w:val="28"/>
                <w:szCs w:val="28"/>
              </w:rPr>
            </w:pPr>
            <w:r>
              <w:rPr>
                <w:rFonts w:hint="eastAsia" w:ascii="宋体" w:hAnsi="宋体"/>
                <w:sz w:val="28"/>
                <w:szCs w:val="28"/>
              </w:rPr>
              <w:t xml:space="preserve">名称：泰兴市公共资源交易中心</w:t>
            </w:r>
            <w:r/>
          </w:p>
          <w:p>
            <w:pPr>
              <w:jc w:val="left"/>
              <w:spacing w:line="360" w:lineRule="exact"/>
              <w:rPr>
                <w:rFonts w:ascii="宋体"/>
                <w:sz w:val="28"/>
                <w:szCs w:val="28"/>
              </w:rPr>
            </w:pPr>
            <w:r>
              <w:rPr>
                <w:rFonts w:hint="eastAsia" w:ascii="宋体" w:hAnsi="宋体"/>
                <w:sz w:val="28"/>
                <w:szCs w:val="28"/>
              </w:rPr>
              <w:t xml:space="preserve">地址：泰兴市文昌东路</w:t>
            </w:r>
            <w:r>
              <w:rPr>
                <w:rFonts w:ascii="宋体" w:hAnsi="宋体"/>
                <w:sz w:val="28"/>
                <w:szCs w:val="28"/>
              </w:rPr>
              <w:t xml:space="preserve">62</w:t>
            </w:r>
            <w:r>
              <w:rPr>
                <w:rFonts w:hint="eastAsia" w:ascii="宋体" w:hAnsi="宋体"/>
                <w:sz w:val="28"/>
                <w:szCs w:val="28"/>
              </w:rPr>
              <w:t xml:space="preserve">号四楼</w:t>
            </w:r>
            <w:r>
              <w:rPr>
                <w:rFonts w:ascii="宋体" w:hAnsi="宋体"/>
                <w:sz w:val="28"/>
                <w:szCs w:val="28"/>
              </w:rPr>
              <w:t xml:space="preserve">40</w:t>
            </w:r>
            <w:r>
              <w:rPr>
                <w:rFonts w:hint="eastAsia" w:ascii="宋体" w:hAnsi="宋体"/>
                <w:sz w:val="28"/>
                <w:szCs w:val="28"/>
                <w:lang w:val="en-US" w:eastAsia="zh-CN"/>
              </w:rPr>
              <w:t xml:space="preserve">2</w:t>
            </w:r>
            <w:r>
              <w:rPr>
                <w:rFonts w:hint="eastAsia" w:ascii="宋体" w:hAnsi="宋体"/>
                <w:sz w:val="28"/>
                <w:szCs w:val="28"/>
              </w:rPr>
              <w:t xml:space="preserve">室</w:t>
            </w:r>
            <w:r/>
          </w:p>
          <w:p>
            <w:pPr>
              <w:jc w:val="left"/>
              <w:spacing w:line="360" w:lineRule="exact"/>
              <w:rPr>
                <w:rFonts w:ascii="宋体"/>
                <w:sz w:val="28"/>
                <w:szCs w:val="28"/>
              </w:rPr>
            </w:pPr>
            <w:r>
              <w:rPr>
                <w:rFonts w:hint="eastAsia" w:ascii="宋体" w:hAnsi="宋体"/>
                <w:sz w:val="28"/>
                <w:szCs w:val="28"/>
              </w:rPr>
              <w:t xml:space="preserve">联系人：黄女士</w:t>
            </w:r>
            <w:r/>
          </w:p>
          <w:p>
            <w:pPr>
              <w:jc w:val="left"/>
              <w:spacing w:line="360" w:lineRule="exact"/>
              <w:rPr>
                <w:rFonts w:ascii="宋体" w:hAnsi="宋体"/>
                <w:sz w:val="28"/>
                <w:szCs w:val="28"/>
              </w:rPr>
            </w:pPr>
            <w:r>
              <w:rPr>
                <w:rFonts w:hint="eastAsia" w:ascii="宋体" w:hAnsi="宋体"/>
                <w:sz w:val="28"/>
                <w:szCs w:val="28"/>
              </w:rPr>
              <w:t xml:space="preserve">联系电话：</w:t>
            </w:r>
            <w:r>
              <w:rPr>
                <w:rFonts w:ascii="宋体" w:hAnsi="宋体"/>
                <w:sz w:val="28"/>
                <w:szCs w:val="28"/>
              </w:rPr>
              <w:t xml:space="preserve">0523-87654122</w:t>
            </w:r>
            <w:r/>
          </w:p>
        </w:tc>
      </w:tr>
      <w:tr>
        <w:trPr>
          <w:jc w:val="center"/>
          <w:trHeight w:val="82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1.1.4</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项目名称及项目编号</w:t>
            </w:r>
            <w:r/>
          </w:p>
        </w:tc>
        <w:tc>
          <w:tcPr>
            <w:tcW w:w="5987" w:type="dxa"/>
            <w:vAlign w:val="center"/>
            <w:textDirection w:val="lrTb"/>
            <w:noWrap w:val="false"/>
          </w:tcPr>
          <w:p>
            <w:pPr>
              <w:ind w:left="1439" w:hanging="1439"/>
              <w:jc w:val="left"/>
              <w:spacing w:line="360" w:lineRule="exact"/>
              <w:rPr>
                <w:rFonts w:hint="eastAsia" w:ascii="宋体" w:hAnsi="宋体"/>
                <w:sz w:val="28"/>
                <w:szCs w:val="28"/>
              </w:rPr>
            </w:pPr>
            <w:r>
              <w:rPr>
                <w:rFonts w:hint="eastAsia" w:ascii="宋体" w:hAnsi="宋体"/>
                <w:sz w:val="28"/>
                <w:szCs w:val="28"/>
              </w:rPr>
              <w:t xml:space="preserve">项目名称：2026年度泰兴市详细规划调整项目</w:t>
            </w:r>
            <w:r/>
          </w:p>
          <w:p>
            <w:pPr>
              <w:jc w:val="left"/>
              <w:spacing w:line="360" w:lineRule="exact"/>
              <w:rPr>
                <w:rFonts w:hint="default" w:ascii="宋体" w:eastAsia="宋体"/>
                <w:sz w:val="28"/>
                <w:szCs w:val="28"/>
                <w:lang w:val="en-US" w:eastAsia="zh-CN"/>
              </w:rPr>
            </w:pPr>
            <w:r>
              <w:rPr>
                <w:rFonts w:hint="eastAsia" w:ascii="宋体" w:hAnsi="宋体"/>
                <w:sz w:val="28"/>
                <w:szCs w:val="28"/>
              </w:rPr>
              <w:t xml:space="preserve">项目编号：</w:t>
            </w:r>
            <w:r>
              <w:rPr>
                <w:rFonts w:hint="eastAsia" w:ascii="宋体" w:hAnsi="宋体"/>
                <w:sz w:val="28"/>
                <w:szCs w:val="28"/>
                <w:highlight w:val="none"/>
              </w:rPr>
              <w:t xml:space="preserve">JSZC-321283-JZCG-G202</w:t>
            </w:r>
            <w:r>
              <w:rPr>
                <w:rFonts w:hint="eastAsia" w:ascii="宋体" w:hAnsi="宋体"/>
                <w:sz w:val="28"/>
                <w:szCs w:val="28"/>
                <w:highlight w:val="none"/>
                <w:lang w:val="en-US" w:eastAsia="zh-CN"/>
              </w:rPr>
              <w:t xml:space="preserve">6</w:t>
            </w:r>
            <w:r>
              <w:rPr>
                <w:rFonts w:hint="eastAsia" w:ascii="宋体" w:hAnsi="宋体"/>
                <w:sz w:val="28"/>
                <w:szCs w:val="28"/>
                <w:highlight w:val="none"/>
              </w:rPr>
              <w:t xml:space="preserve">-00</w:t>
            </w:r>
            <w:r>
              <w:rPr>
                <w:rFonts w:hint="eastAsia" w:ascii="宋体" w:hAnsi="宋体"/>
                <w:sz w:val="28"/>
                <w:szCs w:val="28"/>
                <w:highlight w:val="none"/>
                <w:lang w:val="en-US" w:eastAsia="zh-CN"/>
              </w:rPr>
              <w:t xml:space="preserve">05</w:t>
            </w:r>
            <w:r/>
          </w:p>
        </w:tc>
      </w:tr>
      <w:tr>
        <w:trPr>
          <w:jc w:val="center"/>
          <w:trHeight w:val="399"/>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1.2.</w:t>
            </w:r>
            <w:r>
              <w:rPr>
                <w:rFonts w:hint="eastAsia" w:ascii="宋体" w:hAnsi="宋体"/>
                <w:sz w:val="28"/>
                <w:szCs w:val="28"/>
              </w:rPr>
              <w:t xml:space="preserve">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hAnsi="宋体"/>
                <w:sz w:val="28"/>
                <w:szCs w:val="28"/>
              </w:rPr>
              <w:t xml:space="preserve">付款方式</w:t>
            </w:r>
            <w:r/>
          </w:p>
        </w:tc>
        <w:tc>
          <w:tcPr>
            <w:tcW w:w="5987" w:type="dxa"/>
            <w:vAlign w:val="center"/>
            <w:textDirection w:val="lrTb"/>
            <w:noWrap w:val="false"/>
          </w:tcPr>
          <w:p>
            <w:pPr>
              <w:spacing w:line="360" w:lineRule="exact"/>
              <w:rPr>
                <w:rFonts w:hint="default" w:ascii="宋体"/>
                <w:sz w:val="28"/>
                <w:szCs w:val="28"/>
                <w:lang w:val="en-US"/>
              </w:rPr>
            </w:pPr>
            <w:r>
              <w:rPr>
                <w:rFonts w:hint="eastAsia" w:ascii="宋体"/>
                <w:sz w:val="28"/>
                <w:szCs w:val="28"/>
                <w:highlight w:val="none"/>
                <w:lang w:val="en-US" w:eastAsia="zh-CN"/>
              </w:rPr>
              <w:t xml:space="preserve">服务费用分两次结算，分别为2026年12月31日和2027年6月30日。</w:t>
            </w:r>
            <w:r/>
          </w:p>
        </w:tc>
      </w:tr>
      <w:tr>
        <w:trPr>
          <w:jc w:val="center"/>
          <w:trHeight w:val="467"/>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1.3.1</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采购范围</w:t>
            </w:r>
            <w:r/>
          </w:p>
        </w:tc>
        <w:tc>
          <w:tcPr>
            <w:tcW w:w="5987" w:type="dxa"/>
            <w:vAlign w:val="center"/>
            <w:textDirection w:val="lrTb"/>
            <w:noWrap w:val="false"/>
          </w:tcPr>
          <w:p>
            <w:pPr>
              <w:jc w:val="left"/>
              <w:spacing w:line="420" w:lineRule="exact"/>
              <w:rPr>
                <w:rFonts w:ascii="宋体"/>
                <w:sz w:val="28"/>
                <w:szCs w:val="28"/>
              </w:rPr>
            </w:pPr>
            <w:r>
              <w:rPr>
                <w:rFonts w:hint="eastAsia" w:ascii="宋体" w:hAnsi="宋体"/>
                <w:sz w:val="28"/>
                <w:szCs w:val="28"/>
              </w:rPr>
              <w:t xml:space="preserve">见第五章采购需求</w:t>
            </w:r>
            <w:r/>
          </w:p>
        </w:tc>
      </w:tr>
      <w:tr>
        <w:trPr>
          <w:jc w:val="center"/>
          <w:trHeight w:val="402"/>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1.3.2</w:t>
            </w:r>
            <w:r/>
          </w:p>
        </w:tc>
        <w:tc>
          <w:tcPr>
            <w:gridSpan w:val="2"/>
            <w:tcW w:w="2552" w:type="dxa"/>
            <w:vAlign w:val="center"/>
            <w:textDirection w:val="lrTb"/>
            <w:noWrap w:val="false"/>
          </w:tcPr>
          <w:p>
            <w:pPr>
              <w:jc w:val="center"/>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合同履行期限</w:t>
            </w:r>
            <w:r/>
          </w:p>
        </w:tc>
        <w:tc>
          <w:tcPr>
            <w:tcW w:w="5987" w:type="dxa"/>
            <w:vAlign w:val="center"/>
            <w:textDirection w:val="lrTb"/>
            <w:noWrap w:val="false"/>
          </w:tcPr>
          <w:p>
            <w:pPr>
              <w:spacing w:line="4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合同签订之日起至202</w:t>
            </w:r>
            <w:r>
              <w:rPr>
                <w:rFonts w:hint="eastAsia" w:ascii="宋体" w:hAnsi="宋体" w:cs="宋体"/>
                <w:sz w:val="28"/>
                <w:szCs w:val="28"/>
                <w:highlight w:val="none"/>
                <w:lang w:val="en-US" w:eastAsia="zh-CN"/>
              </w:rPr>
              <w:t xml:space="preserve">7</w:t>
            </w:r>
            <w:r>
              <w:rPr>
                <w:rFonts w:hint="eastAsia" w:ascii="宋体" w:hAnsi="宋体" w:eastAsia="宋体" w:cs="宋体"/>
                <w:sz w:val="28"/>
                <w:szCs w:val="28"/>
                <w:highlight w:val="none"/>
              </w:rPr>
              <w:t xml:space="preserve">年</w:t>
            </w:r>
            <w:r>
              <w:rPr>
                <w:rFonts w:hint="eastAsia" w:ascii="宋体" w:hAnsi="宋体" w:cs="宋体"/>
                <w:sz w:val="28"/>
                <w:szCs w:val="28"/>
                <w:highlight w:val="none"/>
                <w:lang w:val="en-US" w:eastAsia="zh-CN"/>
              </w:rPr>
              <w:t xml:space="preserve">7</w:t>
            </w:r>
            <w:r>
              <w:rPr>
                <w:rFonts w:hint="eastAsia" w:ascii="宋体" w:hAnsi="宋体" w:eastAsia="宋体" w:cs="宋体"/>
                <w:sz w:val="28"/>
                <w:szCs w:val="28"/>
                <w:highlight w:val="none"/>
              </w:rPr>
              <w:t xml:space="preserve">月止。</w:t>
            </w:r>
            <w:r/>
          </w:p>
        </w:tc>
      </w:tr>
      <w:tr>
        <w:trPr>
          <w:jc w:val="center"/>
          <w:trHeight w:val="77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1.4.2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要求供应商具备的特定条件</w:t>
            </w:r>
            <w:r/>
          </w:p>
        </w:tc>
        <w:tc>
          <w:tcPr>
            <w:tcW w:w="5987" w:type="dxa"/>
            <w:vAlign w:val="center"/>
            <w:textDirection w:val="lrTb"/>
            <w:noWrap w:val="false"/>
          </w:tcPr>
          <w:p>
            <w:pPr>
              <w:jc w:val="left"/>
              <w:spacing w:line="420" w:lineRule="exact"/>
              <w:rPr>
                <w:rFonts w:ascii="宋体" w:cs="宋体"/>
                <w:sz w:val="28"/>
                <w:szCs w:val="28"/>
              </w:rPr>
            </w:pPr>
            <w:r>
              <w:rPr>
                <w:rFonts w:hint="eastAsia" w:ascii="宋体" w:hAnsi="宋体" w:cs="宋体"/>
                <w:sz w:val="28"/>
                <w:szCs w:val="28"/>
              </w:rPr>
              <w:t xml:space="preserve">见招标公告“申请人的资格要求”</w:t>
            </w:r>
            <w:r/>
          </w:p>
        </w:tc>
      </w:tr>
      <w:tr>
        <w:trPr>
          <w:jc w:val="center"/>
          <w:trHeight w:val="536"/>
        </w:trPr>
        <w:tc>
          <w:tcPr>
            <w:tcW w:w="1089" w:type="dxa"/>
            <w:vAlign w:val="center"/>
            <w:textDirection w:val="lrTb"/>
            <w:noWrap w:val="false"/>
          </w:tcPr>
          <w:p>
            <w:pPr>
              <w:jc w:val="center"/>
              <w:spacing w:line="3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p>
        </w:tc>
        <w:tc>
          <w:tcPr>
            <w:gridSpan w:val="2"/>
            <w:tcW w:w="2552" w:type="dxa"/>
            <w:vAlign w:val="center"/>
            <w:textDirection w:val="lrTb"/>
            <w:noWrap w:val="false"/>
          </w:tcPr>
          <w:p>
            <w:pPr>
              <w:jc w:val="center"/>
              <w:spacing w:line="320" w:lineRule="exact"/>
              <w:rPr>
                <w:rFonts w:ascii="宋体"/>
                <w:sz w:val="28"/>
                <w:szCs w:val="28"/>
                <w:highlight w:val="yellow"/>
              </w:rPr>
            </w:pPr>
            <w:r>
              <w:rPr>
                <w:rFonts w:hint="eastAsia" w:ascii="宋体" w:hAnsi="宋体"/>
                <w:sz w:val="28"/>
                <w:szCs w:val="28"/>
              </w:rPr>
              <w:t xml:space="preserve">偏离</w:t>
            </w:r>
            <w:r/>
          </w:p>
        </w:tc>
        <w:tc>
          <w:tcPr>
            <w:tcW w:w="5987" w:type="dxa"/>
            <w:vAlign w:val="center"/>
            <w:textDirection w:val="lrTb"/>
            <w:noWrap w:val="false"/>
          </w:tcPr>
          <w:p>
            <w:pPr>
              <w:pStyle w:val="649"/>
              <w:spacing w:line="320" w:lineRule="exact"/>
              <w:rPr>
                <w:rFonts w:ascii="宋体"/>
                <w:sz w:val="28"/>
                <w:szCs w:val="28"/>
                <w:highlight w:val="yellow"/>
              </w:rPr>
            </w:pPr>
            <w:r/>
            <w:bookmarkStart w:id="49" w:name="FBfe800446baa24252acf6b14953dc4897"/>
            <w:r/>
            <w:bookmarkEnd w:id="49"/>
            <w:r/>
            <w:bookmarkStart w:id="50" w:name="FEfe800446baa24252acf6b14953dc4897"/>
            <w:r/>
            <w:bookmarkEnd w:id="50"/>
            <w:r>
              <w:rPr>
                <w:rFonts w:hint="eastAsia" w:ascii="宋体"/>
                <w:sz w:val="28"/>
                <w:szCs w:val="28"/>
              </w:rPr>
              <w:t xml:space="preserve">第五章采购需求不允许负偏离</w:t>
            </w:r>
            <w:r/>
          </w:p>
        </w:tc>
      </w:tr>
      <w:tr>
        <w:trPr>
          <w:jc w:val="center"/>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2.1</w:t>
            </w:r>
            <w:r/>
          </w:p>
        </w:tc>
        <w:tc>
          <w:tcPr>
            <w:gridSpan w:val="2"/>
            <w:tcW w:w="2552" w:type="dxa"/>
            <w:vAlign w:val="center"/>
            <w:textDirection w:val="lrTb"/>
            <w:noWrap w:val="false"/>
          </w:tcPr>
          <w:p>
            <w:pPr>
              <w:jc w:val="center"/>
              <w:spacing w:line="320" w:lineRule="exact"/>
              <w:rPr>
                <w:rFonts w:ascii="宋体"/>
                <w:sz w:val="28"/>
                <w:szCs w:val="28"/>
              </w:rPr>
            </w:pPr>
            <w:r>
              <w:rPr>
                <w:rFonts w:hint="eastAsia" w:ascii="宋体" w:hAnsi="宋体"/>
                <w:sz w:val="28"/>
                <w:szCs w:val="28"/>
              </w:rPr>
              <w:t xml:space="preserve">构成招标文件的其他材料</w:t>
            </w:r>
            <w:r/>
          </w:p>
        </w:tc>
        <w:tc>
          <w:tcPr>
            <w:tcW w:w="5987" w:type="dxa"/>
            <w:vAlign w:val="center"/>
            <w:textDirection w:val="lrTb"/>
            <w:noWrap w:val="false"/>
          </w:tcPr>
          <w:p>
            <w:pPr>
              <w:jc w:val="left"/>
              <w:spacing w:line="360" w:lineRule="exact"/>
              <w:rPr>
                <w:rFonts w:ascii="宋体"/>
                <w:sz w:val="28"/>
                <w:szCs w:val="28"/>
                <w:highlight w:val="yellow"/>
              </w:rPr>
            </w:pPr>
            <w:r/>
            <w:bookmarkStart w:id="51" w:name="EB35ced2e8f8364f63a510bf246ff979f0"/>
            <w:r/>
            <w:bookmarkEnd w:id="51"/>
            <w:r>
              <w:rPr>
                <w:rFonts w:hint="eastAsia" w:ascii="宋体" w:hAnsi="宋体"/>
                <w:sz w:val="28"/>
                <w:szCs w:val="28"/>
              </w:rPr>
              <w:t xml:space="preserve">无</w:t>
            </w:r>
            <w:r/>
          </w:p>
        </w:tc>
      </w:tr>
      <w:tr>
        <w:trPr>
          <w:jc w:val="center"/>
          <w:trHeight w:val="81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2.2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供应商要求澄清招标文件的截止时间</w:t>
            </w:r>
            <w:r/>
          </w:p>
        </w:tc>
        <w:tc>
          <w:tcPr>
            <w:tcW w:w="5987" w:type="dxa"/>
            <w:vAlign w:val="center"/>
            <w:textDirection w:val="lrTb"/>
            <w:noWrap w:val="false"/>
          </w:tcPr>
          <w:p>
            <w:pPr>
              <w:spacing w:line="440" w:lineRule="exact"/>
              <w:rPr>
                <w:rFonts w:ascii="宋体"/>
                <w:sz w:val="28"/>
                <w:szCs w:val="28"/>
              </w:rPr>
            </w:pPr>
            <w:r>
              <w:rPr>
                <w:rFonts w:hint="eastAsia" w:ascii="宋体" w:hAnsi="宋体"/>
                <w:sz w:val="28"/>
                <w:highlight w:val="none"/>
              </w:rPr>
              <w:t xml:space="preserve">202</w:t>
            </w:r>
            <w:r>
              <w:rPr>
                <w:rFonts w:hint="eastAsia" w:ascii="宋体" w:hAnsi="宋体"/>
                <w:sz w:val="28"/>
                <w:highlight w:val="none"/>
                <w:lang w:val="en-US" w:eastAsia="zh-CN"/>
              </w:rPr>
              <w:t xml:space="preserve">6</w:t>
            </w:r>
            <w:r>
              <w:rPr>
                <w:rFonts w:hint="eastAsia" w:ascii="宋体" w:hAnsi="宋体"/>
                <w:sz w:val="28"/>
                <w:highlight w:val="none"/>
              </w:rPr>
              <w:t xml:space="preserve">年</w:t>
            </w:r>
            <w:r>
              <w:rPr>
                <w:rFonts w:hint="eastAsia" w:ascii="宋体" w:hAnsi="宋体"/>
                <w:sz w:val="28"/>
                <w:highlight w:val="none"/>
                <w:lang w:val="en-US" w:eastAsia="zh-CN"/>
              </w:rPr>
              <w:t xml:space="preserve">07</w:t>
            </w:r>
            <w:r>
              <w:rPr>
                <w:rFonts w:hint="eastAsia" w:ascii="宋体" w:hAnsi="宋体"/>
                <w:sz w:val="28"/>
                <w:highlight w:val="none"/>
              </w:rPr>
              <w:t xml:space="preserve">月</w:t>
            </w:r>
            <w:r>
              <w:rPr>
                <w:rFonts w:hint="eastAsia" w:ascii="宋体" w:hAnsi="宋体"/>
                <w:sz w:val="28"/>
                <w:highlight w:val="none"/>
                <w:lang w:val="en-US" w:eastAsia="zh-CN"/>
              </w:rPr>
              <w:t xml:space="preserve">03</w:t>
            </w:r>
            <w:bookmarkStart w:id="535" w:name="_GoBack"/>
            <w:r/>
            <w:bookmarkEnd w:id="535"/>
            <w:r>
              <w:rPr>
                <w:rFonts w:hint="eastAsia" w:ascii="宋体" w:hAnsi="宋体"/>
                <w:sz w:val="28"/>
                <w:highlight w:val="none"/>
              </w:rPr>
              <w:t xml:space="preserve">日17时30分</w:t>
            </w:r>
            <w:r/>
          </w:p>
        </w:tc>
      </w:tr>
      <w:tr>
        <w:trPr>
          <w:jc w:val="center"/>
          <w:trHeight w:val="416"/>
        </w:trPr>
        <w:tc>
          <w:tcPr>
            <w:tcW w:w="1089" w:type="dxa"/>
            <w:vAlign w:val="center"/>
            <w:textDirection w:val="lrTb"/>
            <w:noWrap w:val="false"/>
          </w:tcPr>
          <w:p>
            <w:pPr>
              <w:jc w:val="center"/>
              <w:spacing w:line="380" w:lineRule="exact"/>
              <w:rPr>
                <w:rFonts w:ascii="宋体" w:hAnsi="宋体"/>
                <w:sz w:val="28"/>
                <w:szCs w:val="28"/>
              </w:rPr>
            </w:pPr>
            <w:r>
              <w:rPr>
                <w:rFonts w:hint="eastAsia" w:ascii="宋体" w:hAnsi="宋体"/>
                <w:sz w:val="28"/>
                <w:szCs w:val="28"/>
              </w:rPr>
              <w:t xml:space="preserve">3.1</w:t>
            </w:r>
            <w:r/>
          </w:p>
        </w:tc>
        <w:tc>
          <w:tcPr>
            <w:gridSpan w:val="2"/>
            <w:tcW w:w="2552"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投标文件的组成</w:t>
            </w:r>
            <w:r/>
          </w:p>
        </w:tc>
        <w:tc>
          <w:tcPr>
            <w:tcW w:w="5987" w:type="dxa"/>
            <w:vAlign w:val="center"/>
            <w:textDirection w:val="lrTb"/>
            <w:noWrap w:val="false"/>
          </w:tcPr>
          <w:p>
            <w:pPr>
              <w:spacing w:line="400" w:lineRule="exact"/>
              <w:rPr>
                <w:rFonts w:ascii="宋体" w:hAnsi="宋体" w:cs="宋体"/>
                <w:sz w:val="28"/>
              </w:rPr>
            </w:pPr>
            <w:r>
              <w:rPr>
                <w:rFonts w:hint="eastAsia" w:ascii="宋体" w:hAnsi="宋体" w:cs="宋体"/>
                <w:sz w:val="28"/>
              </w:rPr>
              <w:t xml:space="preserve">（1）开标一览表；</w:t>
            </w:r>
            <w:r/>
          </w:p>
          <w:p>
            <w:pPr>
              <w:spacing w:line="400" w:lineRule="exact"/>
              <w:rPr>
                <w:rFonts w:ascii="宋体" w:hAnsi="宋体" w:cs="宋体"/>
                <w:sz w:val="28"/>
              </w:rPr>
            </w:pPr>
            <w:r>
              <w:rPr>
                <w:rFonts w:hint="eastAsia" w:ascii="宋体" w:hAnsi="宋体" w:cs="宋体"/>
                <w:sz w:val="28"/>
              </w:rPr>
              <w:t xml:space="preserve">（2）投标函；</w:t>
            </w:r>
            <w:r/>
          </w:p>
          <w:p>
            <w:pPr>
              <w:spacing w:line="400" w:lineRule="exact"/>
              <w:rPr>
                <w:rFonts w:ascii="宋体" w:hAnsi="宋体" w:cs="宋体"/>
                <w:sz w:val="28"/>
              </w:rPr>
            </w:pPr>
            <w:r>
              <w:rPr>
                <w:rFonts w:hint="eastAsia" w:ascii="宋体" w:hAnsi="宋体" w:cs="宋体"/>
                <w:sz w:val="28"/>
              </w:rPr>
              <w:t xml:space="preserve">（3）中小企业声明函（若有）；</w:t>
            </w:r>
            <w:r/>
          </w:p>
          <w:p>
            <w:pPr>
              <w:spacing w:line="400" w:lineRule="exact"/>
              <w:rPr>
                <w:rFonts w:ascii="宋体" w:hAnsi="宋体" w:cs="宋体"/>
                <w:sz w:val="28"/>
              </w:rPr>
            </w:pPr>
            <w:r>
              <w:rPr>
                <w:rFonts w:hint="eastAsia" w:ascii="宋体" w:hAnsi="宋体" w:cs="宋体"/>
                <w:sz w:val="28"/>
              </w:rPr>
              <w:t xml:space="preserve">（4）投标报价明细表及分析说明；</w:t>
            </w:r>
            <w:r/>
          </w:p>
          <w:p>
            <w:pPr>
              <w:spacing w:line="400" w:lineRule="exact"/>
              <w:rPr>
                <w:rFonts w:ascii="宋体" w:hAnsi="宋体" w:cs="宋体"/>
                <w:sz w:val="28"/>
              </w:rPr>
            </w:pPr>
            <w:r>
              <w:rPr>
                <w:rFonts w:hint="eastAsia" w:ascii="宋体" w:hAnsi="宋体" w:cs="宋体"/>
                <w:sz w:val="28"/>
              </w:rPr>
              <w:t xml:space="preserve">（5）资格性审查和符合性评审文件；</w:t>
            </w:r>
            <w:r/>
          </w:p>
          <w:p>
            <w:pPr>
              <w:spacing w:line="400" w:lineRule="exact"/>
              <w:rPr>
                <w:rFonts w:ascii="宋体" w:hAnsi="宋体" w:cs="宋体"/>
                <w:sz w:val="28"/>
              </w:rPr>
            </w:pPr>
            <w:r>
              <w:rPr>
                <w:rFonts w:hint="eastAsia" w:ascii="宋体" w:hAnsi="宋体" w:cs="宋体"/>
                <w:sz w:val="28"/>
              </w:rPr>
              <w:t xml:space="preserve">（6）采购需求响应表；</w:t>
            </w:r>
            <w:r/>
          </w:p>
          <w:p>
            <w:pPr>
              <w:spacing w:line="400" w:lineRule="exact"/>
              <w:rPr>
                <w:rFonts w:ascii="宋体" w:hAnsi="宋体" w:cs="宋体"/>
                <w:sz w:val="28"/>
              </w:rPr>
            </w:pPr>
            <w:r>
              <w:rPr>
                <w:rFonts w:hint="eastAsia" w:ascii="宋体" w:hAnsi="宋体" w:cs="宋体"/>
                <w:sz w:val="28"/>
              </w:rPr>
              <w:t xml:space="preserve">（7）对照第三章评标办法，认为应列入投标文件的其他材料。</w:t>
            </w:r>
            <w:r/>
          </w:p>
        </w:tc>
      </w:tr>
      <w:tr>
        <w:trPr>
          <w:jc w:val="center"/>
          <w:trHeight w:val="386"/>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3.3.1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hAnsi="宋体" w:cs="宋体"/>
                <w:sz w:val="28"/>
                <w:szCs w:val="28"/>
              </w:rPr>
              <w:t xml:space="preserve">投标有效期</w:t>
            </w:r>
            <w:r/>
          </w:p>
        </w:tc>
        <w:tc>
          <w:tcPr>
            <w:tcW w:w="5987" w:type="dxa"/>
            <w:vAlign w:val="center"/>
            <w:textDirection w:val="lrTb"/>
            <w:noWrap w:val="false"/>
          </w:tcPr>
          <w:p>
            <w:pPr>
              <w:spacing w:line="440" w:lineRule="exact"/>
              <w:rPr>
                <w:rFonts w:ascii="宋体"/>
                <w:sz w:val="28"/>
                <w:szCs w:val="28"/>
              </w:rPr>
            </w:pPr>
            <w:r>
              <w:rPr>
                <w:rFonts w:hint="eastAsia" w:ascii="宋体" w:hAnsi="宋体" w:cs="宋体"/>
                <w:sz w:val="28"/>
              </w:rPr>
              <w:t xml:space="preserve">60天</w:t>
            </w:r>
            <w:r/>
          </w:p>
        </w:tc>
      </w:tr>
      <w:tr>
        <w:trPr>
          <w:jc w:val="center"/>
          <w:trHeight w:val="433"/>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4</w:t>
            </w:r>
            <w:r>
              <w:rPr>
                <w:rFonts w:ascii="宋体" w:hAnsi="宋体"/>
                <w:sz w:val="28"/>
                <w:szCs w:val="28"/>
              </w:rPr>
              <w:t xml:space="preserve">.</w:t>
            </w:r>
            <w:r>
              <w:rPr>
                <w:rFonts w:hint="eastAsia" w:ascii="宋体" w:hAnsi="宋体"/>
                <w:sz w:val="28"/>
                <w:szCs w:val="28"/>
              </w:rPr>
              <w:t xml:space="preserve">3</w:t>
            </w:r>
            <w:r/>
          </w:p>
        </w:tc>
        <w:tc>
          <w:tcPr>
            <w:gridSpan w:val="2"/>
            <w:tcW w:w="2552" w:type="dxa"/>
            <w:vAlign w:val="center"/>
            <w:textDirection w:val="lrTb"/>
            <w:noWrap w:val="false"/>
          </w:tcPr>
          <w:p>
            <w:pPr>
              <w:jc w:val="center"/>
              <w:spacing w:line="380" w:lineRule="exact"/>
              <w:rPr>
                <w:rFonts w:ascii="宋体" w:hAnsi="宋体"/>
                <w:sz w:val="28"/>
                <w:szCs w:val="28"/>
              </w:rPr>
            </w:pPr>
            <w:r>
              <w:rPr>
                <w:rFonts w:hint="eastAsia" w:ascii="宋体" w:hAnsi="宋体"/>
                <w:sz w:val="28"/>
                <w:szCs w:val="28"/>
              </w:rPr>
              <w:t xml:space="preserve">投标文件的份数</w:t>
            </w:r>
            <w:r/>
          </w:p>
        </w:tc>
        <w:tc>
          <w:tcPr>
            <w:tcW w:w="5987" w:type="dxa"/>
            <w:vAlign w:val="center"/>
            <w:textDirection w:val="lrTb"/>
            <w:noWrap w:val="false"/>
          </w:tcPr>
          <w:p>
            <w:pPr>
              <w:spacing w:line="380" w:lineRule="exact"/>
              <w:rPr>
                <w:rFonts w:ascii="宋体" w:hAnsi="宋体"/>
                <w:sz w:val="28"/>
                <w:szCs w:val="28"/>
              </w:rPr>
            </w:pPr>
            <w:r>
              <w:rPr>
                <w:rFonts w:hint="eastAsia" w:ascii="宋体" w:hAnsi="宋体"/>
                <w:sz w:val="28"/>
                <w:szCs w:val="28"/>
              </w:rPr>
              <w:t xml:space="preserve">电子投标文件壹份；</w:t>
            </w:r>
            <w:r/>
          </w:p>
        </w:tc>
      </w:tr>
      <w:tr>
        <w:trPr>
          <w:jc w:val="center"/>
          <w:trHeight w:val="416"/>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3.4.4</w:t>
            </w:r>
            <w:r/>
          </w:p>
        </w:tc>
        <w:tc>
          <w:tcPr>
            <w:gridSpan w:val="2"/>
            <w:tcW w:w="2552"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投标文件的签署</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1.投标函、供应商基本资格条件承诺函中须加盖供应商法人章并经法定代表人签字或签章。</w:t>
            </w:r>
            <w:r/>
          </w:p>
          <w:p>
            <w:pPr>
              <w:jc w:val="left"/>
              <w:spacing w:line="360" w:lineRule="exact"/>
              <w:rPr>
                <w:rFonts w:ascii="宋体" w:hAnsi="宋体" w:cs="宋体"/>
                <w:sz w:val="28"/>
              </w:rPr>
            </w:pPr>
            <w:r>
              <w:rPr>
                <w:rFonts w:hint="eastAsia" w:ascii="宋体" w:hAnsi="宋体"/>
                <w:sz w:val="28"/>
                <w:szCs w:val="28"/>
              </w:rPr>
              <w:t xml:space="preserve">2.投标文件中的任何重要的插字、涂改和增删，修改处须有法定代表人签章或签字。</w:t>
            </w:r>
            <w:r/>
          </w:p>
        </w:tc>
      </w:tr>
      <w:tr>
        <w:trPr>
          <w:jc w:val="center"/>
          <w:trHeight w:val="76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5.1.1</w:t>
            </w:r>
            <w:r/>
          </w:p>
        </w:tc>
        <w:tc>
          <w:tcPr>
            <w:gridSpan w:val="2"/>
            <w:tcW w:w="2552" w:type="dxa"/>
            <w:vAlign w:val="center"/>
            <w:textDirection w:val="lrTb"/>
            <w:noWrap w:val="false"/>
          </w:tcPr>
          <w:p>
            <w:pPr>
              <w:jc w:val="center"/>
              <w:rPr>
                <w:rFonts w:ascii="宋体"/>
                <w:sz w:val="28"/>
                <w:szCs w:val="28"/>
              </w:rPr>
            </w:pPr>
            <w:r>
              <w:rPr>
                <w:rFonts w:hint="eastAsia" w:ascii="宋体" w:hAnsi="宋体" w:cs="宋体"/>
                <w:sz w:val="28"/>
                <w:szCs w:val="28"/>
              </w:rPr>
              <w:t xml:space="preserve">开标时间和地点</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开标时间：</w:t>
            </w:r>
            <w:bookmarkStart w:id="52" w:name="EB72e20e40757d438698d0d924b6237fcc"/>
            <w:r/>
            <w:bookmarkEnd w:id="52"/>
            <w:r>
              <w:rPr>
                <w:rFonts w:hint="eastAsia" w:ascii="宋体" w:hAnsi="宋体"/>
                <w:sz w:val="28"/>
                <w:szCs w:val="28"/>
              </w:rPr>
              <w:t xml:space="preserve">同投标截止时间</w:t>
            </w:r>
            <w:r/>
          </w:p>
          <w:p>
            <w:pPr>
              <w:jc w:val="left"/>
              <w:spacing w:line="360" w:lineRule="exact"/>
              <w:rPr>
                <w:rFonts w:ascii="宋体"/>
                <w:sz w:val="28"/>
                <w:szCs w:val="28"/>
              </w:rPr>
            </w:pPr>
            <w:r>
              <w:rPr>
                <w:rFonts w:hint="eastAsia" w:ascii="宋体" w:hAnsi="宋体"/>
                <w:sz w:val="28"/>
                <w:szCs w:val="28"/>
              </w:rPr>
              <w:t xml:space="preserve">开标地点：</w:t>
            </w:r>
            <w:r>
              <w:rPr>
                <w:rFonts w:hint="eastAsia" w:ascii="Arial" w:hAnsi="Arial" w:eastAsia="Arial"/>
                <w:sz w:val="28"/>
                <w:szCs w:val="28"/>
              </w:rPr>
              <w:t xml:space="preserve">“苏采云”系统“开标大厅”</w:t>
            </w:r>
            <w:r/>
          </w:p>
        </w:tc>
      </w:tr>
      <w:tr>
        <w:trPr>
          <w:jc w:val="center"/>
          <w:trHeight w:val="1026"/>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5.1.2</w:t>
            </w:r>
            <w:r/>
          </w:p>
        </w:tc>
        <w:tc>
          <w:tcPr>
            <w:gridSpan w:val="2"/>
            <w:tcW w:w="2552" w:type="dxa"/>
            <w:vAlign w:val="center"/>
            <w:textDirection w:val="lrTb"/>
            <w:noWrap w:val="false"/>
          </w:tcPr>
          <w:p>
            <w:pPr>
              <w:jc w:val="center"/>
              <w:spacing w:line="460" w:lineRule="exact"/>
              <w:rPr>
                <w:rFonts w:ascii="宋体" w:hAnsi="宋体" w:cs="宋体"/>
                <w:sz w:val="28"/>
                <w:szCs w:val="28"/>
              </w:rPr>
            </w:pPr>
            <w:r>
              <w:rPr>
                <w:rFonts w:hint="eastAsia" w:ascii="宋体" w:hAnsi="宋体" w:cs="宋体"/>
                <w:sz w:val="28"/>
                <w:szCs w:val="28"/>
              </w:rPr>
              <w:t xml:space="preserve">供应商参与开标要求</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开标活动将在招标公告中规定的时间和地点进行。供应商应当按照</w:t>
            </w:r>
            <w:r>
              <w:rPr>
                <w:rFonts w:hint="eastAsia" w:ascii="宋体" w:hAnsi="宋体"/>
                <w:b/>
                <w:color w:val="ff0000"/>
                <w:sz w:val="28"/>
                <w:szCs w:val="28"/>
              </w:rPr>
              <w:t xml:space="preserve">《江苏省政府采购管理交易系统（苏采云）供应商操作手册》</w:t>
            </w:r>
            <w:r>
              <w:rPr>
                <w:rFonts w:hint="eastAsia" w:ascii="宋体" w:hAnsi="宋体"/>
                <w:sz w:val="28"/>
                <w:szCs w:val="28"/>
              </w:rPr>
              <w:t xml:space="preserve">规定，参加开标活动。</w:t>
            </w:r>
            <w:r/>
          </w:p>
        </w:tc>
      </w:tr>
      <w:tr>
        <w:trPr>
          <w:jc w:val="center"/>
          <w:trHeight w:val="425"/>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6.1.1</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cs="宋体"/>
                <w:sz w:val="28"/>
                <w:szCs w:val="28"/>
              </w:rPr>
              <w:t xml:space="preserve">评标委员会</w:t>
            </w:r>
            <w:r/>
          </w:p>
        </w:tc>
        <w:tc>
          <w:tcPr>
            <w:tcW w:w="5987" w:type="dxa"/>
            <w:vAlign w:val="center"/>
            <w:textDirection w:val="lrTb"/>
            <w:noWrap w:val="false"/>
          </w:tcPr>
          <w:p>
            <w:pPr>
              <w:jc w:val="left"/>
              <w:spacing w:line="360" w:lineRule="exact"/>
              <w:rPr>
                <w:rFonts w:ascii="宋体"/>
                <w:sz w:val="28"/>
                <w:szCs w:val="28"/>
              </w:rPr>
            </w:pPr>
            <w:r>
              <w:rPr>
                <w:rFonts w:hint="eastAsia" w:ascii="宋体" w:hAnsi="宋体" w:cs="宋体"/>
                <w:sz w:val="28"/>
                <w:szCs w:val="28"/>
              </w:rPr>
              <w:t xml:space="preserve">评标委员会人数</w:t>
            </w:r>
            <w:r>
              <w:rPr>
                <w:rFonts w:hint="eastAsia" w:ascii="宋体" w:hAnsi="宋体"/>
                <w:sz w:val="28"/>
                <w:szCs w:val="28"/>
              </w:rPr>
              <w:t xml:space="preserve">：</w:t>
            </w:r>
            <w:r>
              <w:rPr>
                <w:rFonts w:ascii="宋体" w:hAnsi="宋体"/>
                <w:sz w:val="28"/>
                <w:szCs w:val="28"/>
                <w:u w:val="single"/>
              </w:rPr>
              <w:t xml:space="preserve">  5  </w:t>
            </w:r>
            <w:r>
              <w:rPr>
                <w:rFonts w:hint="eastAsia" w:ascii="宋体" w:hAnsi="宋体"/>
                <w:sz w:val="28"/>
                <w:szCs w:val="28"/>
              </w:rPr>
              <w:t xml:space="preserve">人。</w:t>
            </w:r>
            <w:r/>
          </w:p>
        </w:tc>
      </w:tr>
      <w:tr>
        <w:trPr>
          <w:jc w:val="center"/>
          <w:trHeight w:val="423"/>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7.2</w:t>
            </w:r>
            <w:r>
              <w:rPr>
                <w:rFonts w:hint="eastAsia" w:ascii="宋体" w:hAnsi="宋体"/>
                <w:sz w:val="28"/>
                <w:szCs w:val="28"/>
              </w:rPr>
              <w:t xml:space="preserve">.1</w:t>
            </w:r>
            <w:r/>
          </w:p>
        </w:tc>
        <w:tc>
          <w:tcPr>
            <w:gridSpan w:val="2"/>
            <w:tcW w:w="2552"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中标公告媒介</w:t>
            </w:r>
            <w:r/>
          </w:p>
        </w:tc>
        <w:tc>
          <w:tcPr>
            <w:tcW w:w="5987"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江苏政府采购网（</w:t>
            </w:r>
            <w:r>
              <w:rPr>
                <w:rFonts w:ascii="宋体" w:hAnsi="宋体"/>
                <w:sz w:val="28"/>
                <w:szCs w:val="28"/>
              </w:rPr>
              <w:t xml:space="preserve">www.ccgp-jiangsu.gov.cn</w:t>
            </w:r>
            <w:r>
              <w:rPr>
                <w:rFonts w:hint="eastAsia" w:ascii="宋体" w:hAnsi="宋体"/>
                <w:sz w:val="28"/>
                <w:szCs w:val="28"/>
              </w:rPr>
              <w:t xml:space="preserve">）</w:t>
            </w:r>
            <w:r/>
          </w:p>
        </w:tc>
      </w:tr>
      <w:tr>
        <w:trPr>
          <w:jc w:val="center"/>
          <w:trHeight w:val="427"/>
        </w:trPr>
        <w:tc>
          <w:tcPr>
            <w:tcW w:w="1089" w:type="dxa"/>
            <w:vAlign w:val="center"/>
            <w:textDirection w:val="lrTb"/>
            <w:noWrap w:val="false"/>
          </w:tcPr>
          <w:p>
            <w:pPr>
              <w:jc w:val="center"/>
              <w:spacing w:line="340" w:lineRule="exact"/>
              <w:rPr>
                <w:rFonts w:ascii="宋体" w:hAnsi="宋体"/>
                <w:sz w:val="28"/>
                <w:szCs w:val="28"/>
              </w:rPr>
            </w:pPr>
            <w:r>
              <w:rPr>
                <w:rFonts w:ascii="宋体" w:hAnsi="宋体"/>
                <w:sz w:val="28"/>
                <w:szCs w:val="28"/>
              </w:rPr>
              <w:t xml:space="preserve">8.1.1</w:t>
            </w:r>
            <w:r/>
          </w:p>
        </w:tc>
        <w:tc>
          <w:tcPr>
            <w:gridSpan w:val="2"/>
            <w:tcW w:w="2552" w:type="dxa"/>
            <w:vAlign w:val="center"/>
            <w:textDirection w:val="lrTb"/>
            <w:noWrap w:val="false"/>
          </w:tcPr>
          <w:p>
            <w:pPr>
              <w:jc w:val="center"/>
              <w:spacing w:line="340" w:lineRule="exact"/>
              <w:rPr>
                <w:rFonts w:ascii="宋体" w:hAnsi="宋体"/>
                <w:sz w:val="28"/>
                <w:szCs w:val="28"/>
              </w:rPr>
            </w:pPr>
            <w:r>
              <w:rPr>
                <w:rFonts w:hint="eastAsia" w:ascii="宋体" w:hAnsi="宋体"/>
                <w:sz w:val="28"/>
                <w:szCs w:val="28"/>
              </w:rPr>
              <w:t xml:space="preserve">履约保证金</w:t>
            </w:r>
            <w:r/>
          </w:p>
        </w:tc>
        <w:tc>
          <w:tcPr>
            <w:tcW w:w="5987" w:type="dxa"/>
            <w:vAlign w:val="center"/>
            <w:textDirection w:val="lrTb"/>
            <w:noWrap w:val="false"/>
          </w:tcPr>
          <w:p>
            <w:pPr>
              <w:jc w:val="left"/>
              <w:spacing w:line="340" w:lineRule="exact"/>
              <w:rPr>
                <w:rFonts w:ascii="宋体" w:hAnsi="宋体"/>
                <w:sz w:val="28"/>
                <w:szCs w:val="28"/>
              </w:rPr>
            </w:pPr>
            <w:r>
              <w:rPr>
                <w:rFonts w:hint="eastAsia" w:ascii="宋体" w:hAnsi="宋体"/>
                <w:sz w:val="28"/>
                <w:szCs w:val="28"/>
              </w:rPr>
              <w:t xml:space="preserve">无需缴纳履约保证金。</w:t>
            </w:r>
            <w:r/>
          </w:p>
        </w:tc>
      </w:tr>
      <w:tr>
        <w:trPr>
          <w:jc w:val="center"/>
          <w:trHeight w:val="702"/>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8.2.1</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签订合同的</w:t>
            </w:r>
            <w:r/>
          </w:p>
          <w:p>
            <w:pPr>
              <w:jc w:val="center"/>
              <w:spacing w:line="360" w:lineRule="exact"/>
              <w:rPr>
                <w:rFonts w:ascii="宋体" w:hAnsi="宋体" w:cs="宋体"/>
                <w:sz w:val="28"/>
                <w:szCs w:val="28"/>
              </w:rPr>
            </w:pPr>
            <w:r>
              <w:rPr>
                <w:rFonts w:hint="eastAsia" w:ascii="宋体" w:hAnsi="宋体" w:cs="宋体"/>
                <w:sz w:val="28"/>
                <w:szCs w:val="28"/>
              </w:rPr>
              <w:t xml:space="preserve">时间要求</w:t>
            </w:r>
            <w:r/>
          </w:p>
        </w:tc>
        <w:tc>
          <w:tcPr>
            <w:tcW w:w="5987" w:type="dxa"/>
            <w:vAlign w:val="center"/>
            <w:textDirection w:val="lrTb"/>
            <w:noWrap w:val="false"/>
          </w:tcPr>
          <w:p>
            <w:pPr>
              <w:jc w:val="left"/>
              <w:spacing w:line="360" w:lineRule="exact"/>
              <w:rPr>
                <w:rFonts w:ascii="宋体"/>
                <w:sz w:val="28"/>
                <w:szCs w:val="28"/>
              </w:rPr>
            </w:pPr>
            <w:r>
              <w:rPr>
                <w:rFonts w:hint="eastAsia" w:ascii="宋体" w:hAnsi="宋体"/>
                <w:sz w:val="28"/>
                <w:szCs w:val="28"/>
              </w:rPr>
              <w:t xml:space="preserve">自中标通知书发出之日起</w:t>
            </w:r>
            <w:r>
              <w:rPr>
                <w:rFonts w:ascii="宋体" w:hAnsi="宋体"/>
                <w:sz w:val="28"/>
                <w:szCs w:val="28"/>
                <w:u w:val="single"/>
              </w:rPr>
              <w:t xml:space="preserve"> </w:t>
            </w:r>
            <w:r>
              <w:rPr>
                <w:rFonts w:hint="eastAsia" w:ascii="宋体" w:hAnsi="宋体"/>
                <w:sz w:val="28"/>
                <w:szCs w:val="28"/>
                <w:u w:val="single"/>
              </w:rPr>
              <w:t xml:space="preserve">15</w:t>
            </w:r>
            <w:r>
              <w:rPr>
                <w:rFonts w:ascii="宋体" w:hAnsi="宋体"/>
                <w:sz w:val="28"/>
                <w:szCs w:val="28"/>
                <w:u w:val="single"/>
              </w:rPr>
              <w:t xml:space="preserve"> </w:t>
            </w:r>
            <w:r>
              <w:rPr>
                <w:rFonts w:hint="eastAsia" w:ascii="宋体" w:hAnsi="宋体"/>
                <w:sz w:val="28"/>
                <w:szCs w:val="28"/>
              </w:rPr>
              <w:t xml:space="preserve">天内</w:t>
            </w:r>
            <w:r/>
          </w:p>
        </w:tc>
      </w:tr>
      <w:tr>
        <w:trPr>
          <w:jc w:val="center"/>
        </w:trPr>
        <w:tc>
          <w:tcPr>
            <w:tcW w:w="108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9</w:t>
            </w:r>
            <w:r/>
          </w:p>
        </w:tc>
        <w:tc>
          <w:tcPr>
            <w:gridSpan w:val="3"/>
            <w:tcW w:w="853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.1</w:t>
            </w:r>
            <w:r/>
          </w:p>
        </w:tc>
        <w:tc>
          <w:tcPr>
            <w:tcW w:w="2521"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质疑和投诉</w:t>
            </w:r>
            <w:r/>
          </w:p>
        </w:tc>
        <w:tc>
          <w:tcPr>
            <w:gridSpan w:val="2"/>
            <w:tcW w:w="6018" w:type="dxa"/>
            <w:vAlign w:val="center"/>
            <w:textDirection w:val="lrTb"/>
            <w:noWrap w:val="false"/>
          </w:tcPr>
          <w:p>
            <w:pPr>
              <w:jc w:val="left"/>
              <w:spacing w:line="360" w:lineRule="exact"/>
              <w:rPr>
                <w:rFonts w:ascii="宋体"/>
                <w:sz w:val="28"/>
                <w:szCs w:val="28"/>
              </w:rPr>
            </w:pPr>
            <w:r>
              <w:rPr>
                <w:rFonts w:hint="eastAsia" w:ascii="宋体" w:hAnsi="宋体"/>
                <w:sz w:val="28"/>
                <w:szCs w:val="28"/>
              </w:rPr>
              <w:t xml:space="preserve">按照《政府采购质疑和投诉办法》（财政部第</w:t>
            </w:r>
            <w:r>
              <w:rPr>
                <w:rFonts w:ascii="宋体" w:hAnsi="宋体"/>
                <w:sz w:val="28"/>
                <w:szCs w:val="28"/>
              </w:rPr>
              <w:t xml:space="preserve">94</w:t>
            </w:r>
            <w:r>
              <w:rPr>
                <w:rFonts w:hint="eastAsia" w:ascii="宋体" w:hAnsi="宋体"/>
                <w:sz w:val="28"/>
                <w:szCs w:val="28"/>
              </w:rPr>
              <w:t xml:space="preserve">号令）处理</w:t>
            </w:r>
            <w:r/>
          </w:p>
        </w:tc>
      </w:tr>
      <w:tr>
        <w:trPr>
          <w:jc w:val="center"/>
          <w:trHeight w:val="472"/>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.2</w:t>
            </w:r>
            <w:r/>
          </w:p>
        </w:tc>
        <w:tc>
          <w:tcPr>
            <w:tcW w:w="2521"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招标文件的解释</w:t>
            </w:r>
            <w:r/>
          </w:p>
        </w:tc>
        <w:tc>
          <w:tcPr>
            <w:gridSpan w:val="2"/>
            <w:tcW w:w="6018" w:type="dxa"/>
            <w:vAlign w:val="center"/>
            <w:textDirection w:val="lrTb"/>
            <w:noWrap w:val="false"/>
          </w:tcPr>
          <w:p>
            <w:pPr>
              <w:spacing w:line="360" w:lineRule="exact"/>
              <w:rPr>
                <w:rFonts w:ascii="宋体"/>
                <w:sz w:val="28"/>
                <w:szCs w:val="28"/>
              </w:rPr>
            </w:pPr>
            <w:r>
              <w:rPr>
                <w:rFonts w:hint="eastAsia" w:ascii="宋体" w:hAnsi="宋体"/>
                <w:sz w:val="28"/>
                <w:szCs w:val="28"/>
              </w:rPr>
              <w:t xml:space="preserve">由招标人负责</w:t>
            </w:r>
            <w:r/>
          </w:p>
        </w:tc>
      </w:tr>
      <w:tr>
        <w:trPr>
          <w:jc w:val="center"/>
          <w:trHeight w:val="699"/>
        </w:trPr>
        <w:tc>
          <w:tcPr>
            <w:tcW w:w="1089" w:type="dxa"/>
            <w:vAlign w:val="center"/>
            <w:textDirection w:val="lrTb"/>
            <w:noWrap w:val="false"/>
          </w:tcPr>
          <w:p>
            <w:pPr>
              <w:jc w:val="center"/>
              <w:spacing w:line="360" w:lineRule="exact"/>
              <w:rPr>
                <w:rFonts w:ascii="宋体" w:hAnsi="宋体"/>
                <w:b/>
                <w:color w:val="000000"/>
                <w:sz w:val="28"/>
                <w:szCs w:val="28"/>
              </w:rPr>
            </w:pPr>
            <w:r>
              <w:rPr>
                <w:rFonts w:hint="eastAsia" w:ascii="宋体" w:hAnsi="宋体"/>
                <w:b/>
                <w:color w:val="000000"/>
                <w:sz w:val="28"/>
                <w:szCs w:val="28"/>
              </w:rPr>
              <w:t xml:space="preserve">9.3</w:t>
            </w:r>
            <w:r/>
          </w:p>
        </w:tc>
        <w:tc>
          <w:tcPr>
            <w:tcW w:w="2521" w:type="dxa"/>
            <w:vAlign w:val="center"/>
            <w:textDirection w:val="lrTb"/>
            <w:noWrap w:val="false"/>
          </w:tcPr>
          <w:p>
            <w:pPr>
              <w:jc w:val="center"/>
              <w:spacing w:line="360" w:lineRule="exact"/>
              <w:rPr>
                <w:rFonts w:ascii="宋体" w:hAnsi="宋体"/>
                <w:color w:val="000000"/>
                <w:sz w:val="28"/>
                <w:szCs w:val="28"/>
              </w:rPr>
            </w:pPr>
            <w:r>
              <w:rPr>
                <w:rFonts w:hint="eastAsia" w:ascii="宋体" w:hAnsi="宋体"/>
                <w:color w:val="000000"/>
                <w:sz w:val="28"/>
                <w:szCs w:val="28"/>
              </w:rPr>
              <w:t xml:space="preserve">落实政府采购政策</w:t>
            </w:r>
            <w:r/>
          </w:p>
        </w:tc>
        <w:tc>
          <w:tcPr>
            <w:gridSpan w:val="2"/>
            <w:tcW w:w="6018" w:type="dxa"/>
            <w:vAlign w:val="top"/>
            <w:textDirection w:val="lrTb"/>
            <w:noWrap w:val="false"/>
          </w:tcPr>
          <w:p>
            <w:pPr>
              <w:pStyle w:val="710"/>
              <w:spacing w:line="380" w:lineRule="exact"/>
              <w:rPr>
                <w:rFonts w:ascii="宋体" w:hAnsi="宋体"/>
                <w:color w:val="ff0000"/>
                <w:sz w:val="28"/>
                <w:szCs w:val="28"/>
              </w:rPr>
            </w:pPr>
            <w:r>
              <w:rPr>
                <w:rFonts w:hint="eastAsia" w:ascii="宋体" w:hAnsi="宋体"/>
                <w:color w:val="auto"/>
                <w:sz w:val="28"/>
                <w:szCs w:val="28"/>
              </w:rPr>
              <w:t xml:space="preserve">根据《政府采购促进中小企业发展管理办法》（财库【2020】46号）规定，对小型和微型生产企业生产的产品或承接的服务价格给予10%的扣除，扣除后的价格参与评审。供应商应当提供《中小企业声明函》（格式见附件）</w:t>
            </w:r>
            <w:r/>
          </w:p>
        </w:tc>
      </w:tr>
      <w:tr>
        <w:trPr>
          <w:jc w:val="center"/>
          <w:trHeight w:val="416"/>
        </w:trPr>
        <w:tc>
          <w:tcPr>
            <w:tcW w:w="1089" w:type="dxa"/>
            <w:vAlign w:val="center"/>
            <w:textDirection w:val="lrTb"/>
            <w:noWrap w:val="false"/>
          </w:tcPr>
          <w:p>
            <w:pPr>
              <w:jc w:val="center"/>
              <w:spacing w:line="360" w:lineRule="exact"/>
              <w:rPr>
                <w:rFonts w:ascii="宋体" w:hAnsi="宋体"/>
                <w:b/>
                <w:color w:val="000000"/>
                <w:sz w:val="28"/>
                <w:szCs w:val="28"/>
              </w:rPr>
            </w:pPr>
            <w:r>
              <w:rPr>
                <w:rFonts w:hint="eastAsia" w:ascii="宋体" w:hAnsi="宋体"/>
                <w:b/>
                <w:color w:val="000000"/>
                <w:sz w:val="28"/>
                <w:szCs w:val="28"/>
              </w:rPr>
              <w:t xml:space="preserve">9.4</w:t>
            </w:r>
            <w:r/>
          </w:p>
        </w:tc>
        <w:tc>
          <w:tcPr>
            <w:tcW w:w="2521" w:type="dxa"/>
            <w:vAlign w:val="center"/>
            <w:textDirection w:val="lrTb"/>
            <w:noWrap w:val="false"/>
          </w:tcPr>
          <w:p>
            <w:pPr>
              <w:jc w:val="center"/>
              <w:spacing w:line="360" w:lineRule="exact"/>
              <w:rPr>
                <w:rFonts w:ascii="宋体" w:hAnsi="宋体"/>
                <w:color w:val="000000"/>
                <w:sz w:val="28"/>
                <w:szCs w:val="28"/>
              </w:rPr>
            </w:pPr>
            <w:r>
              <w:rPr>
                <w:rFonts w:hint="eastAsia" w:ascii="宋体" w:hAnsi="宋体"/>
                <w:color w:val="000000"/>
                <w:sz w:val="28"/>
                <w:szCs w:val="28"/>
              </w:rPr>
              <w:t xml:space="preserve">投标报价</w:t>
            </w:r>
            <w:r/>
          </w:p>
        </w:tc>
        <w:tc>
          <w:tcPr>
            <w:gridSpan w:val="2"/>
            <w:tcW w:w="6018" w:type="dxa"/>
            <w:vAlign w:val="center"/>
            <w:textDirection w:val="lrTb"/>
            <w:noWrap w:val="false"/>
          </w:tcPr>
          <w:p>
            <w:pPr>
              <w:jc w:val="left"/>
              <w:spacing w:line="360" w:lineRule="exact"/>
              <w:rPr>
                <w:rFonts w:ascii="宋体" w:hAnsi="宋体"/>
                <w:color w:val="000000"/>
                <w:sz w:val="28"/>
                <w:szCs w:val="28"/>
              </w:rPr>
            </w:pPr>
            <w:r>
              <w:rPr>
                <w:rFonts w:hint="eastAsia" w:ascii="宋体" w:hAnsi="宋体"/>
                <w:color w:val="000000"/>
                <w:sz w:val="28"/>
                <w:szCs w:val="28"/>
              </w:rPr>
              <w:t xml:space="preserve">1.</w:t>
            </w:r>
            <w:r>
              <w:rPr>
                <w:rFonts w:ascii="宋体" w:hAnsi="宋体"/>
                <w:color w:val="000000"/>
                <w:sz w:val="28"/>
                <w:szCs w:val="28"/>
              </w:rPr>
              <w:t xml:space="preserve">供应商应仔细阅读和充分理解招标文件的采购需求和合同主要条款，根据自身实际情况并综合考虑合同履行过程中的各类风险</w:t>
            </w:r>
            <w:r>
              <w:rPr>
                <w:rFonts w:hint="eastAsia" w:ascii="宋体" w:hAnsi="宋体"/>
                <w:color w:val="000000"/>
                <w:sz w:val="28"/>
                <w:szCs w:val="28"/>
              </w:rPr>
              <w:t xml:space="preserve">，</w:t>
            </w:r>
            <w:r>
              <w:rPr>
                <w:rFonts w:ascii="宋体" w:hAnsi="宋体"/>
                <w:color w:val="000000"/>
                <w:sz w:val="28"/>
                <w:szCs w:val="28"/>
              </w:rPr>
              <w:t xml:space="preserve">理性报价。</w:t>
            </w:r>
            <w:r/>
          </w:p>
          <w:p>
            <w:pPr>
              <w:jc w:val="left"/>
              <w:spacing w:line="360" w:lineRule="exact"/>
              <w:rPr>
                <w:rFonts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中标价格即为合同价格</w:t>
            </w:r>
            <w:r>
              <w:rPr>
                <w:rFonts w:hint="eastAsia" w:ascii="宋体" w:hAnsi="宋体"/>
                <w:color w:val="000000"/>
                <w:sz w:val="28"/>
                <w:szCs w:val="28"/>
              </w:rPr>
              <w:t xml:space="preserve">，</w:t>
            </w:r>
            <w:r>
              <w:rPr>
                <w:rFonts w:ascii="宋体" w:hAnsi="宋体"/>
                <w:color w:val="000000"/>
                <w:sz w:val="28"/>
                <w:szCs w:val="28"/>
              </w:rPr>
              <w:t xml:space="preserve">在合同期内不予调增</w:t>
            </w:r>
            <w:r>
              <w:rPr>
                <w:rFonts w:hint="eastAsia" w:ascii="宋体" w:hAnsi="宋体"/>
                <w:color w:val="000000"/>
                <w:sz w:val="28"/>
                <w:szCs w:val="28"/>
              </w:rPr>
              <w:t xml:space="preserve">。</w:t>
            </w:r>
            <w:r/>
          </w:p>
          <w:p>
            <w:pPr>
              <w:jc w:val="left"/>
              <w:spacing w:line="360" w:lineRule="exact"/>
              <w:rPr>
                <w:rFonts w:ascii="Arial" w:hAnsi="Arial" w:eastAsia="Arial"/>
                <w:b/>
                <w:color w:val="ff0000"/>
              </w:rPr>
            </w:pPr>
            <w:r>
              <w:rPr>
                <w:rFonts w:hint="eastAsia" w:ascii="宋体" w:hAnsi="宋体"/>
                <w:color w:val="000000"/>
                <w:sz w:val="28"/>
                <w:szCs w:val="28"/>
              </w:rPr>
              <w:t xml:space="preserve">3.异常的低价可能会导致投标无效。</w:t>
            </w:r>
            <w:r/>
          </w:p>
        </w:tc>
      </w:tr>
    </w:tbl>
    <w:p>
      <w:pPr>
        <w:spacing w:line="490" w:lineRule="exact"/>
        <w:rPr>
          <w:rFonts w:ascii="黑体" w:hAnsi="黑体" w:eastAsia="黑体"/>
          <w:sz w:val="32"/>
          <w:szCs w:val="32"/>
        </w:rPr>
      </w:pPr>
      <w:r/>
      <w:bookmarkStart w:id="53" w:name="_Toc426469871"/>
      <w:r/>
      <w:bookmarkStart w:id="54" w:name="_Toc367784995"/>
      <w:r>
        <w:rPr>
          <w:rFonts w:ascii="黑体" w:hAnsi="黑体" w:eastAsia="黑体"/>
          <w:sz w:val="32"/>
          <w:szCs w:val="32"/>
        </w:rPr>
        <w:t xml:space="preserve">1.</w:t>
      </w:r>
      <w:r>
        <w:rPr>
          <w:rFonts w:hint="eastAsia" w:ascii="黑体" w:hAnsi="黑体" w:eastAsia="黑体"/>
          <w:sz w:val="32"/>
          <w:szCs w:val="32"/>
        </w:rPr>
        <w:t xml:space="preserve">总则</w:t>
      </w:r>
      <w:bookmarkEnd w:id="53"/>
      <w:r/>
      <w:bookmarkEnd w:id="54"/>
      <w:r/>
      <w:r/>
    </w:p>
    <w:p>
      <w:pPr>
        <w:spacing w:line="490" w:lineRule="exact"/>
        <w:rPr>
          <w:rFonts w:ascii="楷体" w:hAnsi="楷体" w:eastAsia="楷体"/>
          <w:b/>
          <w:sz w:val="28"/>
          <w:szCs w:val="28"/>
        </w:rPr>
      </w:pPr>
      <w:r/>
      <w:bookmarkStart w:id="55" w:name="_Toc383438593"/>
      <w:r/>
      <w:bookmarkStart w:id="56" w:name="_Toc246996176"/>
      <w:r/>
      <w:bookmarkStart w:id="57" w:name="_Toc144974498"/>
      <w:r/>
      <w:bookmarkStart w:id="58" w:name="_Toc247085690"/>
      <w:r/>
      <w:bookmarkStart w:id="59" w:name="_Toc246996919"/>
      <w:r/>
      <w:bookmarkStart w:id="60" w:name="_Toc152042306"/>
      <w:r/>
      <w:bookmarkStart w:id="61" w:name="_Toc152045530"/>
      <w:r/>
      <w:bookmarkStart w:id="62" w:name="_Toc426469872"/>
      <w:r/>
      <w:bookmarkStart w:id="63" w:name="_Toc179632547"/>
      <w:r/>
      <w:bookmarkStart w:id="64" w:name="_Toc343525506"/>
      <w:r/>
      <w:bookmarkStart w:id="65" w:name="_Toc367784996"/>
      <w:r>
        <w:rPr>
          <w:rFonts w:ascii="楷体" w:hAnsi="楷体" w:eastAsia="楷体"/>
          <w:b/>
          <w:sz w:val="28"/>
          <w:szCs w:val="28"/>
        </w:rPr>
        <w:t xml:space="preserve">1.1 </w:t>
      </w:r>
      <w:r>
        <w:rPr>
          <w:rFonts w:hint="eastAsia" w:ascii="楷体" w:hAnsi="楷体" w:eastAsia="楷体" w:cs="宋体"/>
          <w:b/>
          <w:sz w:val="28"/>
          <w:szCs w:val="28"/>
        </w:rPr>
        <w:t xml:space="preserve">项目概况</w:t>
      </w:r>
      <w:bookmarkEnd w:id="55"/>
      <w:r/>
      <w:bookmarkEnd w:id="56"/>
      <w:r/>
      <w:bookmarkEnd w:id="57"/>
      <w:r/>
      <w:bookmarkEnd w:id="58"/>
      <w:r/>
      <w:bookmarkEnd w:id="59"/>
      <w:r/>
      <w:bookmarkEnd w:id="60"/>
      <w:r/>
      <w:bookmarkEnd w:id="61"/>
      <w:r/>
      <w:bookmarkEnd w:id="62"/>
      <w:r/>
      <w:bookmarkEnd w:id="63"/>
      <w:r/>
      <w:bookmarkEnd w:id="64"/>
      <w:r/>
      <w:r/>
    </w:p>
    <w:p>
      <w:pPr>
        <w:ind w:firstLine="560"/>
        <w:spacing w:line="490" w:lineRule="exact"/>
        <w:rPr>
          <w:rFonts w:ascii="宋体"/>
          <w:sz w:val="28"/>
          <w:szCs w:val="28"/>
        </w:rPr>
      </w:pPr>
      <w:r>
        <w:rPr>
          <w:rFonts w:ascii="宋体" w:hAnsi="宋体"/>
          <w:sz w:val="28"/>
          <w:szCs w:val="28"/>
        </w:rPr>
        <w:t xml:space="preserve">1.1.1</w:t>
      </w:r>
      <w:r>
        <w:rPr>
          <w:rFonts w:hint="eastAsia" w:ascii="宋体" w:hAnsi="宋体" w:cs="宋体"/>
          <w:sz w:val="28"/>
          <w:szCs w:val="28"/>
        </w:rPr>
        <w:t xml:space="preserve">根据《中华人民共和国政府采购法》、《中华人民共和国政府采购法实施条例》等有关法律、法规和规章的规定，本采购项目已具备采购条件，现对本项目进行公开招标。</w:t>
      </w:r>
      <w:r/>
    </w:p>
    <w:p>
      <w:pPr>
        <w:ind w:firstLine="560"/>
        <w:spacing w:line="490" w:lineRule="exact"/>
        <w:rPr>
          <w:rFonts w:ascii="宋体"/>
          <w:sz w:val="28"/>
          <w:szCs w:val="28"/>
        </w:rPr>
      </w:pPr>
      <w:r>
        <w:rPr>
          <w:rFonts w:ascii="宋体" w:hAnsi="宋体"/>
          <w:sz w:val="28"/>
          <w:szCs w:val="28"/>
        </w:rPr>
        <w:t xml:space="preserve">1.1.2 </w:t>
      </w:r>
      <w:r>
        <w:rPr>
          <w:rFonts w:hint="eastAsia" w:ascii="宋体" w:hAnsi="宋体" w:cs="宋体"/>
          <w:sz w:val="28"/>
          <w:szCs w:val="28"/>
        </w:rPr>
        <w:t xml:space="preserve">招标人：见供应商须知前附表。</w:t>
      </w:r>
      <w:r/>
    </w:p>
    <w:p>
      <w:pPr>
        <w:ind w:firstLine="560"/>
        <w:spacing w:line="490" w:lineRule="exact"/>
        <w:rPr>
          <w:rFonts w:ascii="宋体"/>
          <w:sz w:val="28"/>
          <w:szCs w:val="28"/>
        </w:rPr>
      </w:pPr>
      <w:r>
        <w:rPr>
          <w:rFonts w:ascii="宋体" w:hAnsi="宋体"/>
          <w:sz w:val="28"/>
          <w:szCs w:val="28"/>
        </w:rPr>
        <w:t xml:space="preserve">1.1.3 </w:t>
      </w:r>
      <w:r>
        <w:rPr>
          <w:rFonts w:hint="eastAsia" w:ascii="宋体" w:hAnsi="宋体" w:cs="宋体"/>
          <w:sz w:val="28"/>
          <w:szCs w:val="28"/>
        </w:rPr>
        <w:t xml:space="preserve">采购代理机构：见供应商须知前附表。</w:t>
      </w:r>
      <w:r/>
    </w:p>
    <w:p>
      <w:pPr>
        <w:ind w:firstLine="560"/>
        <w:spacing w:line="490" w:lineRule="exact"/>
        <w:rPr>
          <w:rFonts w:ascii="宋体"/>
          <w:sz w:val="28"/>
          <w:szCs w:val="28"/>
        </w:rPr>
      </w:pPr>
      <w:r>
        <w:rPr>
          <w:rFonts w:ascii="宋体" w:hAnsi="宋体"/>
          <w:sz w:val="28"/>
          <w:szCs w:val="28"/>
        </w:rPr>
        <w:t xml:space="preserve">1.1.4 </w:t>
      </w:r>
      <w:r>
        <w:rPr>
          <w:rFonts w:hint="eastAsia" w:ascii="宋体" w:hAnsi="宋体" w:cs="宋体"/>
          <w:sz w:val="28"/>
          <w:szCs w:val="28"/>
        </w:rPr>
        <w:t xml:space="preserve">项目名称及项目编号：见供应商须知前附表。</w:t>
      </w:r>
      <w:r/>
    </w:p>
    <w:p>
      <w:pPr>
        <w:spacing w:line="490" w:lineRule="exact"/>
        <w:rPr>
          <w:rFonts w:ascii="楷体" w:hAnsi="楷体" w:eastAsia="楷体"/>
          <w:b/>
          <w:sz w:val="28"/>
          <w:szCs w:val="28"/>
        </w:rPr>
      </w:pPr>
      <w:r/>
      <w:bookmarkStart w:id="66" w:name="_Toc152042307"/>
      <w:r/>
      <w:bookmarkStart w:id="67" w:name="_Toc383438594"/>
      <w:r/>
      <w:bookmarkStart w:id="68" w:name="_Toc426469873"/>
      <w:r/>
      <w:bookmarkStart w:id="69" w:name="_Toc144974499"/>
      <w:r/>
      <w:bookmarkStart w:id="70" w:name="_Toc246996920"/>
      <w:r/>
      <w:bookmarkStart w:id="71" w:name="_Toc247085691"/>
      <w:r/>
      <w:bookmarkStart w:id="72" w:name="_Toc343525507"/>
      <w:r/>
      <w:bookmarkStart w:id="73" w:name="_Toc246996177"/>
      <w:r/>
      <w:bookmarkStart w:id="74" w:name="_Toc179632548"/>
      <w:r/>
      <w:bookmarkStart w:id="75" w:name="_Toc152045531"/>
      <w:r>
        <w:rPr>
          <w:rFonts w:ascii="楷体" w:hAnsi="楷体" w:eastAsia="楷体"/>
          <w:b/>
          <w:sz w:val="28"/>
          <w:szCs w:val="28"/>
        </w:rPr>
        <w:t xml:space="preserve">1.2</w:t>
      </w:r>
      <w:bookmarkEnd w:id="66"/>
      <w:r/>
      <w:bookmarkEnd w:id="67"/>
      <w:r/>
      <w:bookmarkEnd w:id="68"/>
      <w:r/>
      <w:bookmarkEnd w:id="69"/>
      <w:r/>
      <w:bookmarkEnd w:id="70"/>
      <w:r/>
      <w:bookmarkEnd w:id="71"/>
      <w:r/>
      <w:bookmarkEnd w:id="72"/>
      <w:r/>
      <w:bookmarkEnd w:id="73"/>
      <w:r/>
      <w:bookmarkEnd w:id="74"/>
      <w:r/>
      <w:bookmarkEnd w:id="75"/>
      <w:r>
        <w:rPr>
          <w:rFonts w:hint="eastAsia" w:ascii="楷体" w:hAnsi="楷体" w:eastAsia="楷体"/>
          <w:b/>
          <w:sz w:val="28"/>
          <w:szCs w:val="28"/>
        </w:rPr>
        <w:t xml:space="preserve">付款方式</w:t>
      </w:r>
      <w:r/>
    </w:p>
    <w:p>
      <w:pPr>
        <w:ind w:firstLine="560"/>
        <w:spacing w:line="490" w:lineRule="exact"/>
        <w:rPr>
          <w:rFonts w:ascii="宋体"/>
          <w:sz w:val="28"/>
          <w:szCs w:val="28"/>
        </w:rPr>
      </w:pPr>
      <w:r>
        <w:rPr>
          <w:rFonts w:ascii="宋体" w:hAnsi="宋体"/>
          <w:sz w:val="28"/>
          <w:szCs w:val="28"/>
        </w:rPr>
        <w:t xml:space="preserve">1.2.</w:t>
      </w:r>
      <w:r>
        <w:rPr>
          <w:rFonts w:hint="eastAsia" w:ascii="宋体" w:hAnsi="宋体"/>
          <w:sz w:val="28"/>
          <w:szCs w:val="28"/>
        </w:rPr>
        <w:t xml:space="preserve">1</w:t>
      </w:r>
      <w:r>
        <w:rPr>
          <w:rFonts w:hint="eastAsia" w:ascii="宋体" w:hAnsi="宋体" w:cs="宋体"/>
          <w:sz w:val="28"/>
          <w:szCs w:val="28"/>
        </w:rPr>
        <w:t xml:space="preserve">付款方式：见供应商须知前附表。</w:t>
      </w:r>
      <w:r/>
    </w:p>
    <w:p>
      <w:pPr>
        <w:spacing w:line="490" w:lineRule="exact"/>
        <w:rPr>
          <w:rFonts w:ascii="楷体" w:hAnsi="楷体" w:eastAsia="楷体"/>
          <w:b/>
          <w:sz w:val="28"/>
          <w:szCs w:val="28"/>
        </w:rPr>
      </w:pPr>
      <w:r/>
      <w:bookmarkStart w:id="76" w:name="_Toc383438595"/>
      <w:r/>
      <w:bookmarkStart w:id="77" w:name="_Toc152045532"/>
      <w:r/>
      <w:bookmarkStart w:id="78" w:name="_Toc246996178"/>
      <w:r/>
      <w:bookmarkStart w:id="79" w:name="_Toc343525508"/>
      <w:r/>
      <w:bookmarkStart w:id="80" w:name="_Toc152042308"/>
      <w:r/>
      <w:bookmarkStart w:id="81" w:name="_Toc144974500"/>
      <w:r/>
      <w:bookmarkStart w:id="82" w:name="_Toc179632549"/>
      <w:r/>
      <w:bookmarkStart w:id="83" w:name="_Toc246996921"/>
      <w:r/>
      <w:bookmarkStart w:id="84" w:name="_Toc247085692"/>
      <w:r/>
      <w:bookmarkStart w:id="85" w:name="_Toc426469874"/>
      <w:r>
        <w:rPr>
          <w:rFonts w:ascii="楷体" w:hAnsi="楷体" w:eastAsia="楷体"/>
          <w:b/>
          <w:sz w:val="28"/>
          <w:szCs w:val="28"/>
        </w:rPr>
        <w:t xml:space="preserve">1.3 </w:t>
      </w:r>
      <w:bookmarkEnd w:id="76"/>
      <w:r/>
      <w:bookmarkEnd w:id="77"/>
      <w:r/>
      <w:bookmarkEnd w:id="78"/>
      <w:r/>
      <w:bookmarkEnd w:id="79"/>
      <w:r/>
      <w:bookmarkEnd w:id="80"/>
      <w:r/>
      <w:bookmarkEnd w:id="81"/>
      <w:r/>
      <w:bookmarkEnd w:id="82"/>
      <w:r/>
      <w:bookmarkEnd w:id="83"/>
      <w:r/>
      <w:bookmarkEnd w:id="84"/>
      <w:r>
        <w:rPr>
          <w:rFonts w:hint="eastAsia" w:ascii="楷体" w:hAnsi="楷体" w:eastAsia="楷体"/>
          <w:b/>
          <w:sz w:val="28"/>
          <w:szCs w:val="28"/>
        </w:rPr>
        <w:t xml:space="preserve">采购范围</w:t>
      </w:r>
      <w:bookmarkEnd w:id="85"/>
      <w:r>
        <w:rPr>
          <w:rFonts w:hint="eastAsia" w:ascii="楷体" w:hAnsi="楷体" w:eastAsia="楷体"/>
          <w:b/>
          <w:sz w:val="28"/>
          <w:szCs w:val="28"/>
        </w:rPr>
        <w:t xml:space="preserve">与合同履行期限</w:t>
      </w:r>
      <w:r/>
    </w:p>
    <w:p>
      <w:pPr>
        <w:ind w:firstLine="560"/>
        <w:spacing w:line="490" w:lineRule="exact"/>
        <w:rPr>
          <w:rFonts w:ascii="宋体"/>
          <w:sz w:val="28"/>
          <w:szCs w:val="28"/>
        </w:rPr>
      </w:pPr>
      <w:r>
        <w:rPr>
          <w:rFonts w:ascii="宋体" w:hAnsi="宋体"/>
          <w:sz w:val="28"/>
          <w:szCs w:val="28"/>
        </w:rPr>
        <w:t xml:space="preserve">1.3.1 </w:t>
      </w:r>
      <w:r>
        <w:rPr>
          <w:rFonts w:hint="eastAsia" w:ascii="宋体" w:hAnsi="宋体" w:cs="宋体"/>
          <w:sz w:val="28"/>
          <w:szCs w:val="28"/>
        </w:rPr>
        <w:t xml:space="preserve">采购范围：见供应商须知前附表。</w:t>
      </w:r>
      <w:r/>
    </w:p>
    <w:p>
      <w:pPr>
        <w:ind w:firstLine="560"/>
        <w:spacing w:line="490" w:lineRule="exact"/>
        <w:rPr>
          <w:rFonts w:ascii="宋体"/>
          <w:sz w:val="28"/>
          <w:szCs w:val="28"/>
        </w:rPr>
      </w:pPr>
      <w:r>
        <w:rPr>
          <w:rFonts w:ascii="宋体" w:hAnsi="宋体"/>
          <w:sz w:val="28"/>
          <w:szCs w:val="28"/>
        </w:rPr>
        <w:t xml:space="preserve">1.3.2 </w:t>
      </w:r>
      <w:r>
        <w:rPr>
          <w:rFonts w:hint="eastAsia" w:ascii="宋体" w:hAnsi="宋体" w:cs="宋体"/>
          <w:sz w:val="28"/>
          <w:szCs w:val="28"/>
        </w:rPr>
        <w:t xml:space="preserve">合同履行期限：见供应商须知前附表。</w:t>
      </w:r>
      <w:r/>
    </w:p>
    <w:p>
      <w:pPr>
        <w:spacing w:line="490" w:lineRule="exact"/>
        <w:rPr>
          <w:rFonts w:ascii="楷体" w:hAnsi="楷体" w:eastAsia="楷体"/>
          <w:b/>
          <w:sz w:val="28"/>
          <w:szCs w:val="28"/>
        </w:rPr>
      </w:pPr>
      <w:r/>
      <w:bookmarkStart w:id="86" w:name="_Toc179632551"/>
      <w:r/>
      <w:bookmarkStart w:id="87" w:name="_Toc144974502"/>
      <w:r/>
      <w:bookmarkStart w:id="88" w:name="_Toc426469875"/>
      <w:r/>
      <w:bookmarkStart w:id="89" w:name="_Toc247085693"/>
      <w:r/>
      <w:bookmarkStart w:id="90" w:name="_Toc152045534"/>
      <w:r/>
      <w:bookmarkStart w:id="91" w:name="_Toc343525509"/>
      <w:r/>
      <w:bookmarkStart w:id="92" w:name="_Toc246996179"/>
      <w:r/>
      <w:bookmarkStart w:id="93" w:name="_Toc152042310"/>
      <w:r/>
      <w:bookmarkStart w:id="94" w:name="_Toc383438596"/>
      <w:r/>
      <w:bookmarkStart w:id="95" w:name="_Toc246996922"/>
      <w:r>
        <w:rPr>
          <w:rFonts w:ascii="楷体" w:hAnsi="楷体" w:eastAsia="楷体"/>
          <w:b/>
          <w:sz w:val="28"/>
          <w:szCs w:val="28"/>
        </w:rPr>
        <w:t xml:space="preserve">1.4 </w:t>
      </w:r>
      <w:r>
        <w:rPr>
          <w:rFonts w:hint="eastAsia" w:ascii="楷体" w:hAnsi="楷体" w:eastAsia="楷体"/>
          <w:b/>
          <w:sz w:val="28"/>
          <w:szCs w:val="28"/>
        </w:rPr>
        <w:t xml:space="preserve">供应商资格要求</w:t>
      </w:r>
      <w:bookmarkEnd w:id="86"/>
      <w:r/>
      <w:bookmarkEnd w:id="87"/>
      <w:r/>
      <w:bookmarkEnd w:id="88"/>
      <w:r/>
      <w:bookmarkEnd w:id="89"/>
      <w:r/>
      <w:bookmarkEnd w:id="90"/>
      <w:r/>
      <w:bookmarkEnd w:id="91"/>
      <w:r/>
      <w:bookmarkEnd w:id="92"/>
      <w:r/>
      <w:bookmarkEnd w:id="93"/>
      <w:r/>
      <w:bookmarkEnd w:id="94"/>
      <w:r/>
      <w:bookmarkEnd w:id="95"/>
      <w:r/>
      <w:r/>
    </w:p>
    <w:p>
      <w:pPr>
        <w:ind w:firstLine="560"/>
        <w:spacing w:line="490" w:lineRule="exact"/>
        <w:rPr>
          <w:rFonts w:ascii="宋体"/>
          <w:sz w:val="28"/>
          <w:szCs w:val="28"/>
        </w:rPr>
      </w:pPr>
      <w:r>
        <w:rPr>
          <w:rFonts w:ascii="宋体" w:hAnsi="宋体"/>
          <w:sz w:val="28"/>
          <w:szCs w:val="28"/>
        </w:rPr>
        <w:t xml:space="preserve">1.4.1 </w:t>
      </w:r>
      <w:r>
        <w:rPr>
          <w:rFonts w:hint="eastAsia" w:ascii="宋体" w:hAnsi="宋体" w:cs="宋体"/>
          <w:sz w:val="28"/>
          <w:szCs w:val="28"/>
        </w:rPr>
        <w:t xml:space="preserve">供应商参加政府采购活动应当具备下列条件：</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）具有独立承担民事责任的能力；</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）具有良好的商业信誉和健全的财务会计制度；</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）具有履行合同所必需的设备和专业技术能力；</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）有依法缴纳税收和社会保障资金的良好记录；</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5</w:t>
      </w:r>
      <w:r>
        <w:rPr>
          <w:rFonts w:hint="eastAsia" w:ascii="宋体" w:hAnsi="宋体" w:cs="宋体"/>
          <w:sz w:val="28"/>
          <w:szCs w:val="28"/>
        </w:rPr>
        <w:t xml:space="preserve">）参加政府采购活动前三年内，在经营活动中没有重大违法记录；</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6</w:t>
      </w:r>
      <w:r>
        <w:rPr>
          <w:rFonts w:hint="eastAsia" w:ascii="宋体" w:hAnsi="宋体" w:cs="宋体"/>
          <w:sz w:val="28"/>
          <w:szCs w:val="28"/>
        </w:rPr>
        <w:t xml:space="preserve">）法律、行政法规规定的其他条件。</w:t>
      </w:r>
      <w:r/>
    </w:p>
    <w:p>
      <w:pPr>
        <w:ind w:firstLine="560"/>
        <w:spacing w:line="490" w:lineRule="exact"/>
        <w:rPr>
          <w:rFonts w:ascii="宋体"/>
          <w:sz w:val="28"/>
          <w:szCs w:val="28"/>
        </w:rPr>
      </w:pPr>
      <w:r>
        <w:rPr>
          <w:rFonts w:ascii="宋体" w:hAnsi="宋体"/>
          <w:sz w:val="28"/>
          <w:szCs w:val="28"/>
        </w:rPr>
        <w:t xml:space="preserve">1.4.2</w:t>
      </w:r>
      <w:r>
        <w:rPr>
          <w:rFonts w:hint="eastAsia" w:ascii="宋体" w:hAnsi="宋体"/>
          <w:sz w:val="28"/>
          <w:szCs w:val="28"/>
        </w:rPr>
        <w:t xml:space="preserve"> </w:t>
      </w:r>
      <w:r>
        <w:rPr>
          <w:rFonts w:hint="eastAsia" w:ascii="宋体" w:hAnsi="宋体" w:cs="宋体"/>
          <w:sz w:val="28"/>
          <w:szCs w:val="28"/>
        </w:rPr>
        <w:t xml:space="preserve">根据采购项目特殊要求，要求供应商具备的特定条件：见供应商须知前附表。</w:t>
      </w:r>
      <w:r/>
    </w:p>
    <w:p>
      <w:pPr>
        <w:ind w:firstLine="560"/>
        <w:spacing w:line="490" w:lineRule="exact"/>
        <w:rPr>
          <w:rFonts w:ascii="宋体"/>
          <w:sz w:val="28"/>
          <w:szCs w:val="28"/>
        </w:rPr>
      </w:pPr>
      <w:r>
        <w:rPr>
          <w:rFonts w:ascii="宋体" w:hAnsi="宋体"/>
          <w:sz w:val="28"/>
          <w:szCs w:val="28"/>
        </w:rPr>
        <w:t xml:space="preserve">1.4.3</w:t>
      </w:r>
      <w:r>
        <w:rPr>
          <w:rFonts w:hint="eastAsia" w:ascii="宋体" w:hAnsi="宋体"/>
          <w:sz w:val="28"/>
          <w:szCs w:val="28"/>
        </w:rPr>
        <w:t xml:space="preserve"> </w:t>
      </w:r>
      <w:r>
        <w:rPr>
          <w:rFonts w:hint="eastAsia" w:ascii="宋体" w:hAnsi="宋体" w:cs="宋体"/>
          <w:sz w:val="28"/>
          <w:szCs w:val="28"/>
        </w:rPr>
        <w:t xml:space="preserve">供应商不得存在下列情形之一：</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l</w:t>
      </w:r>
      <w:r>
        <w:rPr>
          <w:rFonts w:hint="eastAsia" w:ascii="宋体" w:hAnsi="宋体" w:cs="宋体"/>
          <w:sz w:val="28"/>
          <w:szCs w:val="28"/>
        </w:rPr>
        <w:t xml:space="preserve">）与招标人或采购代理机构存在隶属关系或者其他利害关系；</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）为采购项目提供了整体设计、规范编制或者项目管理、监理、检测等服务；</w:t>
      </w:r>
      <w:r/>
    </w:p>
    <w:p>
      <w:pPr>
        <w:ind w:firstLine="560"/>
        <w:spacing w:line="490" w:lineRule="exact"/>
        <w:rPr>
          <w:rFonts w:ascii="宋体" w:hAnsi="宋体" w:cs="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）单位负责人为同一人或者存在直接控股、管理关系的不同供应商，参加同一合同项下的政府采购活动。</w:t>
      </w:r>
      <w:r/>
    </w:p>
    <w:p>
      <w:pPr>
        <w:ind w:firstLine="560"/>
        <w:spacing w:line="490" w:lineRule="exact"/>
        <w:rPr>
          <w:rFonts w:ascii="宋体" w:hAnsi="宋体" w:cs="宋体"/>
          <w:sz w:val="28"/>
          <w:szCs w:val="28"/>
        </w:rPr>
      </w:pPr>
      <w:r>
        <w:rPr>
          <w:rFonts w:hint="eastAsia" w:ascii="宋体" w:hAnsi="宋体" w:cs="宋体"/>
          <w:sz w:val="28"/>
          <w:szCs w:val="28"/>
        </w:rPr>
        <w:t xml:space="preserve">（4）以联合体形式参加政府采购活动的，联合体各方再单独参加或者与其他供应商另外组成联合体参加同一合同项下的政府采购活动。</w:t>
      </w:r>
      <w:r/>
    </w:p>
    <w:p>
      <w:pPr>
        <w:ind w:firstLine="560"/>
        <w:spacing w:line="490" w:lineRule="exact"/>
        <w:rPr>
          <w:rFonts w:ascii="宋体"/>
          <w:sz w:val="28"/>
          <w:szCs w:val="28"/>
        </w:rPr>
      </w:pPr>
      <w:r>
        <w:rPr>
          <w:rFonts w:hint="eastAsia" w:ascii="宋体" w:hAnsi="宋体" w:cs="宋体"/>
          <w:sz w:val="28"/>
          <w:szCs w:val="28"/>
        </w:rPr>
        <w:t xml:space="preserve">（</w:t>
      </w:r>
      <w:r>
        <w:rPr>
          <w:rFonts w:hint="eastAsia" w:ascii="宋体" w:hAnsi="宋体"/>
          <w:sz w:val="28"/>
          <w:szCs w:val="28"/>
        </w:rPr>
        <w:t xml:space="preserve">5</w:t>
      </w:r>
      <w:r>
        <w:rPr>
          <w:rFonts w:hint="eastAsia" w:ascii="宋体" w:hAnsi="宋体" w:cs="宋体"/>
          <w:sz w:val="28"/>
          <w:szCs w:val="28"/>
        </w:rPr>
        <w:t xml:space="preserve">）法律、行政法规规定的其他条件。</w:t>
      </w:r>
      <w:r/>
    </w:p>
    <w:p>
      <w:pPr>
        <w:spacing w:line="490" w:lineRule="exact"/>
        <w:rPr>
          <w:rFonts w:ascii="楷体" w:hAnsi="楷体" w:eastAsia="楷体"/>
          <w:b/>
          <w:sz w:val="28"/>
          <w:szCs w:val="28"/>
        </w:rPr>
      </w:pPr>
      <w:r/>
      <w:bookmarkStart w:id="96" w:name="_Toc246996923"/>
      <w:r/>
      <w:bookmarkStart w:id="97" w:name="_Toc247085694"/>
      <w:r/>
      <w:bookmarkStart w:id="98" w:name="_Toc152045535"/>
      <w:r/>
      <w:bookmarkStart w:id="99" w:name="_Toc383438597"/>
      <w:r/>
      <w:bookmarkStart w:id="100" w:name="_Toc343525510"/>
      <w:r/>
      <w:bookmarkStart w:id="101" w:name="_Toc179632552"/>
      <w:r/>
      <w:bookmarkStart w:id="102" w:name="_Toc144974503"/>
      <w:r/>
      <w:bookmarkStart w:id="103" w:name="_Toc426469876"/>
      <w:r/>
      <w:bookmarkStart w:id="104" w:name="_Toc246996180"/>
      <w:r/>
      <w:bookmarkStart w:id="105" w:name="_Toc152042311"/>
      <w:r>
        <w:rPr>
          <w:rFonts w:ascii="楷体" w:hAnsi="楷体" w:eastAsia="楷体"/>
          <w:b/>
          <w:sz w:val="28"/>
          <w:szCs w:val="28"/>
        </w:rPr>
        <w:t xml:space="preserve">1.5</w:t>
      </w:r>
      <w:r>
        <w:rPr>
          <w:rFonts w:hint="eastAsia" w:ascii="楷体" w:hAnsi="楷体" w:eastAsia="楷体"/>
          <w:b/>
          <w:sz w:val="28"/>
          <w:szCs w:val="28"/>
        </w:rPr>
        <w:t xml:space="preserve"> </w:t>
      </w:r>
      <w:r>
        <w:rPr>
          <w:rFonts w:hint="eastAsia" w:ascii="楷体" w:hAnsi="楷体" w:eastAsia="楷体" w:cs="宋体"/>
          <w:b/>
          <w:sz w:val="28"/>
          <w:szCs w:val="28"/>
        </w:rPr>
        <w:t xml:space="preserve">费用承担</w:t>
      </w:r>
      <w:bookmarkEnd w:id="96"/>
      <w:r/>
      <w:bookmarkEnd w:id="97"/>
      <w:r/>
      <w:bookmarkEnd w:id="98"/>
      <w:r/>
      <w:bookmarkEnd w:id="99"/>
      <w:r/>
      <w:bookmarkEnd w:id="100"/>
      <w:r/>
      <w:bookmarkEnd w:id="101"/>
      <w:r/>
      <w:bookmarkEnd w:id="102"/>
      <w:r/>
      <w:bookmarkEnd w:id="103"/>
      <w:r/>
      <w:bookmarkEnd w:id="104"/>
      <w:r/>
      <w:bookmarkEnd w:id="105"/>
      <w:r/>
      <w:r/>
    </w:p>
    <w:p>
      <w:pPr>
        <w:ind w:firstLine="560"/>
        <w:spacing w:line="490" w:lineRule="exact"/>
        <w:rPr>
          <w:rFonts w:ascii="宋体"/>
          <w:sz w:val="28"/>
          <w:szCs w:val="28"/>
        </w:rPr>
      </w:pPr>
      <w:r>
        <w:rPr>
          <w:rFonts w:hint="eastAsia" w:ascii="宋体" w:hAnsi="宋体" w:cs="宋体"/>
          <w:sz w:val="28"/>
          <w:szCs w:val="28"/>
        </w:rPr>
        <w:t xml:space="preserve">无论采购结果如何，供应商为准备和参加投标活动发生的费用自理。</w:t>
      </w:r>
      <w:r/>
    </w:p>
    <w:p>
      <w:pPr>
        <w:spacing w:line="490" w:lineRule="exact"/>
        <w:rPr>
          <w:rFonts w:ascii="楷体" w:hAnsi="楷体" w:eastAsia="楷体"/>
          <w:b/>
          <w:sz w:val="28"/>
          <w:szCs w:val="28"/>
        </w:rPr>
      </w:pPr>
      <w:r/>
      <w:bookmarkStart w:id="106" w:name="_Toc144974505"/>
      <w:r/>
      <w:bookmarkStart w:id="107" w:name="_Toc426469878"/>
      <w:r/>
      <w:bookmarkStart w:id="108" w:name="_Toc246996182"/>
      <w:r/>
      <w:bookmarkStart w:id="109" w:name="_Toc152045537"/>
      <w:r/>
      <w:bookmarkStart w:id="110" w:name="_Toc383438599"/>
      <w:r/>
      <w:bookmarkStart w:id="111" w:name="_Toc152042313"/>
      <w:r/>
      <w:bookmarkStart w:id="112" w:name="_Toc247085696"/>
      <w:r/>
      <w:bookmarkStart w:id="113" w:name="_Toc246996925"/>
      <w:r/>
      <w:bookmarkStart w:id="114" w:name="_Toc343525512"/>
      <w:r/>
      <w:bookmarkStart w:id="115" w:name="_Toc179632554"/>
      <w:r>
        <w:rPr>
          <w:rFonts w:ascii="楷体" w:hAnsi="楷体" w:eastAsia="楷体"/>
          <w:b/>
          <w:sz w:val="28"/>
          <w:szCs w:val="28"/>
        </w:rPr>
        <w:t xml:space="preserve">1.</w:t>
      </w:r>
      <w:r>
        <w:rPr>
          <w:rFonts w:hint="eastAsia" w:ascii="楷体" w:hAnsi="楷体" w:eastAsia="楷体"/>
          <w:b/>
          <w:sz w:val="28"/>
          <w:szCs w:val="28"/>
        </w:rPr>
        <w:t xml:space="preserve">6 </w:t>
      </w:r>
      <w:r>
        <w:rPr>
          <w:rFonts w:hint="eastAsia" w:ascii="楷体" w:hAnsi="楷体" w:eastAsia="楷体" w:cs="宋体"/>
          <w:b/>
          <w:sz w:val="28"/>
          <w:szCs w:val="28"/>
        </w:rPr>
        <w:t xml:space="preserve">语言</w:t>
      </w:r>
      <w:bookmarkEnd w:id="106"/>
      <w:r>
        <w:rPr>
          <w:rFonts w:hint="eastAsia" w:ascii="楷体" w:hAnsi="楷体" w:eastAsia="楷体" w:cs="宋体"/>
          <w:b/>
          <w:sz w:val="28"/>
          <w:szCs w:val="28"/>
        </w:rPr>
        <w:t xml:space="preserve">文字</w:t>
      </w:r>
      <w:bookmarkEnd w:id="107"/>
      <w:r/>
      <w:bookmarkEnd w:id="108"/>
      <w:r/>
      <w:bookmarkEnd w:id="109"/>
      <w:r/>
      <w:bookmarkEnd w:id="110"/>
      <w:r/>
      <w:bookmarkEnd w:id="111"/>
      <w:r/>
      <w:bookmarkEnd w:id="112"/>
      <w:r/>
      <w:bookmarkEnd w:id="113"/>
      <w:r/>
      <w:bookmarkEnd w:id="114"/>
      <w:r/>
      <w:bookmarkEnd w:id="115"/>
      <w:r/>
      <w:r/>
    </w:p>
    <w:p>
      <w:pPr>
        <w:ind w:firstLine="560"/>
        <w:spacing w:line="490" w:lineRule="exact"/>
        <w:rPr>
          <w:rFonts w:ascii="宋体"/>
          <w:sz w:val="28"/>
          <w:szCs w:val="28"/>
        </w:rPr>
      </w:pPr>
      <w:r/>
      <w:bookmarkStart w:id="116" w:name="_Toc152045538"/>
      <w:r/>
      <w:bookmarkStart w:id="117" w:name="_Toc246996926"/>
      <w:r/>
      <w:bookmarkStart w:id="118" w:name="_Toc246996183"/>
      <w:r/>
      <w:bookmarkStart w:id="119" w:name="_Toc247085697"/>
      <w:r/>
      <w:bookmarkStart w:id="120" w:name="_Toc179632555"/>
      <w:r/>
      <w:bookmarkStart w:id="121" w:name="_Toc152042314"/>
      <w:r/>
      <w:bookmarkStart w:id="122" w:name="_Toc144974506"/>
      <w:r>
        <w:rPr>
          <w:rFonts w:hint="eastAsia" w:ascii="宋体" w:hAnsi="宋体" w:cs="宋体"/>
          <w:sz w:val="28"/>
          <w:szCs w:val="28"/>
        </w:rPr>
        <w:t xml:space="preserve">招投标文件使用的语言文字为中文。专用术语使用外文的，应附有中文注释。</w:t>
      </w:r>
      <w:r/>
    </w:p>
    <w:p>
      <w:pPr>
        <w:spacing w:line="490" w:lineRule="exact"/>
        <w:rPr>
          <w:rFonts w:ascii="楷体" w:hAnsi="楷体" w:eastAsia="楷体"/>
          <w:b/>
          <w:sz w:val="28"/>
          <w:szCs w:val="28"/>
        </w:rPr>
      </w:pPr>
      <w:r/>
      <w:bookmarkStart w:id="123" w:name="_Toc383438600"/>
      <w:r/>
      <w:bookmarkStart w:id="124" w:name="_Toc343525513"/>
      <w:r/>
      <w:bookmarkStart w:id="125" w:name="_Toc426469879"/>
      <w:r>
        <w:rPr>
          <w:rFonts w:ascii="楷体" w:hAnsi="楷体" w:eastAsia="楷体"/>
          <w:b/>
          <w:sz w:val="28"/>
          <w:szCs w:val="28"/>
        </w:rPr>
        <w:t xml:space="preserve">1.</w:t>
      </w:r>
      <w:r>
        <w:rPr>
          <w:rFonts w:hint="eastAsia" w:ascii="楷体" w:hAnsi="楷体" w:eastAsia="楷体"/>
          <w:b/>
          <w:sz w:val="28"/>
          <w:szCs w:val="28"/>
        </w:rPr>
        <w:t xml:space="preserve">7</w:t>
      </w:r>
      <w:r>
        <w:rPr>
          <w:rFonts w:ascii="楷体" w:hAnsi="楷体" w:eastAsia="楷体"/>
          <w:b/>
          <w:sz w:val="28"/>
          <w:szCs w:val="28"/>
        </w:rPr>
        <w:t xml:space="preserve"> </w:t>
      </w:r>
      <w:r>
        <w:rPr>
          <w:rFonts w:hint="eastAsia" w:ascii="楷体" w:hAnsi="楷体" w:eastAsia="楷体" w:cs="宋体"/>
          <w:b/>
          <w:sz w:val="28"/>
          <w:szCs w:val="28"/>
        </w:rPr>
        <w:t xml:space="preserve">计量单位</w:t>
      </w:r>
      <w:bookmarkEnd w:id="116"/>
      <w:r/>
      <w:bookmarkEnd w:id="117"/>
      <w:r/>
      <w:bookmarkEnd w:id="118"/>
      <w:r/>
      <w:bookmarkEnd w:id="119"/>
      <w:r/>
      <w:bookmarkEnd w:id="120"/>
      <w:r/>
      <w:bookmarkEnd w:id="121"/>
      <w:r/>
      <w:bookmarkEnd w:id="122"/>
      <w:r/>
      <w:bookmarkEnd w:id="123"/>
      <w:r/>
      <w:bookmarkEnd w:id="124"/>
      <w:r/>
      <w:bookmarkEnd w:id="125"/>
      <w:r/>
      <w:r/>
    </w:p>
    <w:p>
      <w:pPr>
        <w:ind w:firstLine="560"/>
        <w:spacing w:line="490" w:lineRule="exact"/>
        <w:rPr>
          <w:rFonts w:ascii="宋体"/>
          <w:sz w:val="28"/>
          <w:szCs w:val="28"/>
        </w:rPr>
      </w:pPr>
      <w:r>
        <w:rPr>
          <w:rFonts w:hint="eastAsia" w:ascii="宋体" w:hAnsi="宋体" w:cs="宋体"/>
          <w:sz w:val="28"/>
          <w:szCs w:val="28"/>
        </w:rPr>
        <w:t xml:space="preserve">所有计量均采用中华人民共和国法定计量单位。</w:t>
      </w:r>
      <w:r/>
    </w:p>
    <w:p>
      <w:pPr>
        <w:spacing w:line="490" w:lineRule="exact"/>
        <w:rPr>
          <w:rFonts w:ascii="楷体" w:hAnsi="楷体" w:eastAsia="楷体"/>
          <w:b/>
          <w:sz w:val="28"/>
          <w:szCs w:val="28"/>
        </w:rPr>
      </w:pPr>
      <w:r/>
      <w:bookmarkStart w:id="126" w:name="_Toc426469881"/>
      <w:r>
        <w:rPr>
          <w:rFonts w:ascii="楷体" w:hAnsi="楷体" w:eastAsia="楷体"/>
          <w:b/>
          <w:sz w:val="28"/>
          <w:szCs w:val="28"/>
        </w:rPr>
        <w:t xml:space="preserve">1.</w:t>
      </w:r>
      <w:r>
        <w:rPr>
          <w:rFonts w:hint="eastAsia" w:ascii="楷体" w:hAnsi="楷体" w:eastAsia="楷体"/>
          <w:b/>
          <w:sz w:val="28"/>
          <w:szCs w:val="28"/>
        </w:rPr>
        <w:t xml:space="preserve">8 </w:t>
      </w:r>
      <w:r>
        <w:rPr>
          <w:rFonts w:hint="eastAsia" w:ascii="楷体" w:hAnsi="楷体" w:eastAsia="楷体" w:cs="宋体"/>
          <w:b/>
          <w:sz w:val="28"/>
          <w:szCs w:val="28"/>
        </w:rPr>
        <w:t xml:space="preserve">偏离</w:t>
      </w:r>
      <w:bookmarkEnd w:id="126"/>
      <w:r/>
      <w:r/>
    </w:p>
    <w:p>
      <w:pPr>
        <w:ind w:firstLine="560"/>
        <w:spacing w:line="490" w:lineRule="exact"/>
        <w:rPr>
          <w:rFonts w:asci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.1</w:t>
      </w:r>
      <w:r>
        <w:rPr>
          <w:rFonts w:hint="eastAsia" w:ascii="宋体" w:hAnsi="宋体"/>
          <w:sz w:val="28"/>
          <w:szCs w:val="28"/>
        </w:rPr>
        <w:t xml:space="preserve"> </w:t>
      </w:r>
      <w:r>
        <w:rPr>
          <w:rFonts w:hint="eastAsia" w:ascii="宋体" w:hAnsi="宋体" w:cs="宋体"/>
          <w:sz w:val="28"/>
          <w:szCs w:val="28"/>
        </w:rPr>
        <w:t xml:space="preserve">偏离是指投标文件中的内容与招标文件中规定的技术参数、标准、服务要求等不一致的情形。优于招标文件规定的技术参数、标准、服务要求的为正偏离，反之为负偏离。</w:t>
      </w:r>
      <w:r/>
    </w:p>
    <w:p>
      <w:pPr>
        <w:ind w:firstLine="560"/>
        <w:spacing w:line="490" w:lineRule="exact"/>
        <w:rPr>
          <w:rFonts w:ascii="宋体" w:hAnsi="宋体" w:cs="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rPr>
          <w:rFonts w:hint="eastAsia" w:ascii="宋体" w:hAnsi="宋体"/>
          <w:sz w:val="28"/>
          <w:szCs w:val="28"/>
        </w:rPr>
        <w:t xml:space="preserve"> </w:t>
      </w:r>
      <w:r>
        <w:rPr>
          <w:rFonts w:hint="eastAsia" w:ascii="宋体" w:hAnsi="宋体" w:cs="宋体"/>
          <w:sz w:val="28"/>
          <w:szCs w:val="28"/>
        </w:rPr>
        <w:t xml:space="preserve">偏离的具体要求见供应商须知前附表。</w:t>
      </w:r>
      <w:r/>
    </w:p>
    <w:p>
      <w:pPr>
        <w:spacing w:line="490" w:lineRule="exact"/>
        <w:rPr>
          <w:rFonts w:ascii="黑体" w:hAnsi="黑体" w:eastAsia="黑体"/>
          <w:sz w:val="32"/>
          <w:szCs w:val="32"/>
        </w:rPr>
      </w:pPr>
      <w:r/>
      <w:bookmarkStart w:id="127" w:name="_Toc426469882"/>
      <w:r/>
      <w:bookmarkStart w:id="128" w:name="_Toc343525517"/>
      <w:r/>
      <w:bookmarkStart w:id="129" w:name="_Toc383438604"/>
      <w:r>
        <w:rPr>
          <w:rFonts w:ascii="黑体" w:hAnsi="黑体" w:eastAsia="黑体"/>
          <w:sz w:val="32"/>
          <w:szCs w:val="32"/>
        </w:rPr>
        <w:t xml:space="preserve">2. </w:t>
      </w:r>
      <w:r>
        <w:rPr>
          <w:rFonts w:hint="eastAsia" w:ascii="黑体" w:hAnsi="黑体" w:eastAsia="黑体" w:cs="宋体"/>
          <w:sz w:val="32"/>
          <w:szCs w:val="32"/>
        </w:rPr>
        <w:t xml:space="preserve">招标文件</w:t>
      </w:r>
      <w:bookmarkEnd w:id="127"/>
      <w:r/>
      <w:bookmarkEnd w:id="128"/>
      <w:r/>
      <w:bookmarkEnd w:id="129"/>
      <w:r/>
      <w:r/>
    </w:p>
    <w:p>
      <w:pPr>
        <w:spacing w:line="490" w:lineRule="exact"/>
        <w:rPr>
          <w:rFonts w:ascii="楷体" w:hAnsi="楷体" w:eastAsia="楷体"/>
          <w:b/>
          <w:sz w:val="28"/>
          <w:szCs w:val="28"/>
        </w:rPr>
      </w:pPr>
      <w:r/>
      <w:bookmarkStart w:id="130" w:name="_Toc179632561"/>
      <w:r/>
      <w:bookmarkStart w:id="131" w:name="_Toc247085702"/>
      <w:r/>
      <w:bookmarkStart w:id="132" w:name="_Toc246996931"/>
      <w:r/>
      <w:bookmarkStart w:id="133" w:name="_Toc426469883"/>
      <w:r/>
      <w:bookmarkStart w:id="134" w:name="_Toc383438605"/>
      <w:r/>
      <w:bookmarkStart w:id="135" w:name="_Toc144974511"/>
      <w:r/>
      <w:bookmarkStart w:id="136" w:name="_Toc246996188"/>
      <w:r/>
      <w:bookmarkStart w:id="137" w:name="_Toc152042319"/>
      <w:r/>
      <w:bookmarkStart w:id="138" w:name="_Toc152045543"/>
      <w:r/>
      <w:bookmarkStart w:id="139" w:name="_Toc343525518"/>
      <w:r>
        <w:rPr>
          <w:rFonts w:ascii="楷体" w:hAnsi="楷体" w:eastAsia="楷体"/>
          <w:b/>
          <w:sz w:val="28"/>
          <w:szCs w:val="28"/>
        </w:rPr>
        <w:t xml:space="preserve">2.1 </w:t>
      </w:r>
      <w:r>
        <w:rPr>
          <w:rFonts w:hint="eastAsia" w:ascii="楷体" w:hAnsi="楷体" w:eastAsia="楷体" w:cs="宋体"/>
          <w:b/>
          <w:sz w:val="28"/>
          <w:szCs w:val="28"/>
        </w:rPr>
        <w:t xml:space="preserve">招标文件的组成</w:t>
      </w:r>
      <w:bookmarkEnd w:id="130"/>
      <w:r/>
      <w:bookmarkEnd w:id="131"/>
      <w:r/>
      <w:bookmarkEnd w:id="132"/>
      <w:r/>
      <w:bookmarkEnd w:id="133"/>
      <w:r/>
      <w:bookmarkEnd w:id="134"/>
      <w:r/>
      <w:bookmarkEnd w:id="135"/>
      <w:r/>
      <w:bookmarkEnd w:id="136"/>
      <w:r/>
      <w:bookmarkEnd w:id="137"/>
      <w:r/>
      <w:bookmarkEnd w:id="138"/>
      <w:r/>
      <w:bookmarkEnd w:id="139"/>
      <w:r/>
      <w:r/>
    </w:p>
    <w:p>
      <w:pPr>
        <w:ind w:firstLine="560"/>
        <w:spacing w:line="49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本招标文件包括：</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）招标公告；</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）供应商须知；</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）评标办法；</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）合同条款及格式；</w:t>
      </w:r>
      <w:r/>
    </w:p>
    <w:p>
      <w:pPr>
        <w:ind w:firstLine="560"/>
        <w:spacing w:line="490" w:lineRule="exact"/>
        <w:rPr>
          <w:rFonts w:ascii="宋体" w:hAnsi="宋体"/>
          <w:sz w:val="28"/>
          <w:szCs w:val="28"/>
        </w:rPr>
      </w:pPr>
      <w:r>
        <w:rPr>
          <w:rFonts w:hint="eastAsia" w:ascii="宋体" w:hAnsi="宋体" w:cs="宋体"/>
          <w:sz w:val="28"/>
          <w:szCs w:val="28"/>
        </w:rPr>
        <w:t xml:space="preserve">（</w:t>
      </w:r>
      <w:r>
        <w:rPr>
          <w:rFonts w:ascii="宋体" w:hAnsi="宋体"/>
          <w:sz w:val="28"/>
          <w:szCs w:val="28"/>
        </w:rPr>
        <w:t xml:space="preserve">5</w:t>
      </w:r>
      <w:r>
        <w:rPr>
          <w:rFonts w:hint="eastAsia" w:ascii="宋体" w:hAnsi="宋体" w:cs="宋体"/>
          <w:sz w:val="28"/>
          <w:szCs w:val="28"/>
        </w:rPr>
        <w:t xml:space="preserve">）</w:t>
      </w:r>
      <w:r>
        <w:rPr>
          <w:rFonts w:hint="eastAsia" w:ascii="宋体" w:hAnsi="宋体"/>
          <w:sz w:val="28"/>
          <w:szCs w:val="28"/>
        </w:rPr>
        <w:t xml:space="preserve">采购需求</w:t>
      </w:r>
      <w:r>
        <w:rPr>
          <w:rFonts w:hint="eastAsia" w:ascii="宋体" w:hAnsi="宋体" w:cs="宋体"/>
          <w:sz w:val="28"/>
          <w:szCs w:val="28"/>
        </w:rPr>
        <w:t xml:space="preserve">；</w:t>
      </w:r>
      <w:r>
        <w:rPr>
          <w:rFonts w:ascii="宋体" w:hAnsi="宋体"/>
          <w:sz w:val="28"/>
          <w:szCs w:val="28"/>
        </w:rPr>
        <w:t xml:space="preserve"> </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6</w:t>
      </w:r>
      <w:r>
        <w:rPr>
          <w:rFonts w:hint="eastAsia" w:ascii="宋体" w:hAnsi="宋体" w:cs="宋体"/>
          <w:sz w:val="28"/>
          <w:szCs w:val="28"/>
        </w:rPr>
        <w:t xml:space="preserve">）投标文件的编制要求及参考格式；</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7</w:t>
      </w:r>
      <w:r>
        <w:rPr>
          <w:rFonts w:hint="eastAsia" w:ascii="宋体" w:hAnsi="宋体" w:cs="宋体"/>
          <w:sz w:val="28"/>
          <w:szCs w:val="28"/>
        </w:rPr>
        <w:t xml:space="preserve">）供应商须知前附表规定的构成招标文件的其他材料。</w:t>
      </w:r>
      <w:r/>
    </w:p>
    <w:p>
      <w:pPr>
        <w:ind w:firstLine="560"/>
        <w:spacing w:line="490" w:lineRule="exact"/>
        <w:rPr>
          <w:rFonts w:ascii="宋体"/>
          <w:sz w:val="28"/>
          <w:szCs w:val="28"/>
        </w:rPr>
      </w:pPr>
      <w:r>
        <w:rPr>
          <w:rFonts w:ascii="宋体" w:hAnsi="宋体"/>
          <w:sz w:val="28"/>
          <w:szCs w:val="28"/>
        </w:rPr>
        <w:t xml:space="preserve">2.1.2</w:t>
      </w:r>
      <w:r>
        <w:rPr>
          <w:rFonts w:hint="eastAsia" w:ascii="宋体" w:hAnsi="宋体"/>
          <w:sz w:val="28"/>
          <w:szCs w:val="28"/>
        </w:rPr>
        <w:t xml:space="preserve"> </w:t>
      </w:r>
      <w:r>
        <w:rPr>
          <w:rFonts w:hint="eastAsia" w:ascii="宋体" w:hAnsi="宋体" w:cs="宋体"/>
          <w:sz w:val="28"/>
          <w:szCs w:val="28"/>
        </w:rPr>
        <w:t xml:space="preserve">根据本章第</w:t>
      </w:r>
      <w:r>
        <w:rPr>
          <w:rFonts w:ascii="宋体" w:hAnsi="宋体"/>
          <w:sz w:val="28"/>
          <w:szCs w:val="28"/>
        </w:rPr>
        <w:t xml:space="preserve">2.2</w:t>
      </w:r>
      <w:r>
        <w:rPr>
          <w:rFonts w:hint="eastAsia" w:ascii="宋体" w:hAnsi="宋体" w:cs="宋体"/>
          <w:sz w:val="28"/>
          <w:szCs w:val="28"/>
        </w:rPr>
        <w:t xml:space="preserve">款和第</w:t>
      </w:r>
      <w:r>
        <w:rPr>
          <w:rFonts w:ascii="宋体" w:hAnsi="宋体"/>
          <w:sz w:val="28"/>
          <w:szCs w:val="28"/>
        </w:rPr>
        <w:t xml:space="preserve">2.3</w:t>
      </w:r>
      <w:r>
        <w:rPr>
          <w:rFonts w:hint="eastAsia" w:ascii="宋体" w:hAnsi="宋体" w:cs="宋体"/>
          <w:sz w:val="28"/>
          <w:szCs w:val="28"/>
        </w:rPr>
        <w:t xml:space="preserve">款对招标文件所作的澄清、修改，构成招标文件的组成部分</w:t>
      </w:r>
      <w:r>
        <w:rPr>
          <w:rFonts w:hint="eastAsia" w:ascii="宋体" w:hAnsi="宋体"/>
          <w:sz w:val="28"/>
          <w:szCs w:val="28"/>
        </w:rPr>
        <w:t xml:space="preserve">。</w:t>
      </w:r>
      <w:r/>
    </w:p>
    <w:p>
      <w:pPr>
        <w:spacing w:line="490" w:lineRule="exact"/>
        <w:rPr>
          <w:rFonts w:ascii="楷体" w:hAnsi="楷体" w:eastAsia="楷体"/>
          <w:b/>
          <w:sz w:val="28"/>
          <w:szCs w:val="28"/>
        </w:rPr>
      </w:pPr>
      <w:r/>
      <w:bookmarkStart w:id="140" w:name="_Toc179632562"/>
      <w:r/>
      <w:bookmarkStart w:id="141" w:name="_Toc383438606"/>
      <w:r/>
      <w:bookmarkStart w:id="142" w:name="_Toc152045544"/>
      <w:r/>
      <w:bookmarkStart w:id="143" w:name="_Toc343525519"/>
      <w:r/>
      <w:bookmarkStart w:id="144" w:name="_Toc246996189"/>
      <w:r/>
      <w:bookmarkStart w:id="145" w:name="_Toc246996932"/>
      <w:r/>
      <w:bookmarkStart w:id="146" w:name="_Toc144974512"/>
      <w:r/>
      <w:bookmarkStart w:id="147" w:name="_Toc426469884"/>
      <w:r/>
      <w:bookmarkStart w:id="148" w:name="_Toc152042320"/>
      <w:r/>
      <w:bookmarkStart w:id="149" w:name="_Toc247085703"/>
      <w:r>
        <w:rPr>
          <w:rFonts w:ascii="楷体" w:hAnsi="楷体" w:eastAsia="楷体"/>
          <w:b/>
          <w:sz w:val="28"/>
          <w:szCs w:val="28"/>
        </w:rPr>
        <w:t xml:space="preserve">2.2 </w:t>
      </w:r>
      <w:r>
        <w:rPr>
          <w:rFonts w:hint="eastAsia" w:ascii="楷体" w:hAnsi="楷体" w:eastAsia="楷体" w:cs="宋体"/>
          <w:b/>
          <w:sz w:val="28"/>
          <w:szCs w:val="28"/>
        </w:rPr>
        <w:t xml:space="preserve">招标文件的澄清</w:t>
      </w:r>
      <w:bookmarkEnd w:id="140"/>
      <w:r/>
      <w:bookmarkEnd w:id="141"/>
      <w:r/>
      <w:bookmarkEnd w:id="142"/>
      <w:r/>
      <w:bookmarkEnd w:id="143"/>
      <w:r/>
      <w:bookmarkEnd w:id="144"/>
      <w:r/>
      <w:bookmarkEnd w:id="145"/>
      <w:r/>
      <w:bookmarkEnd w:id="146"/>
      <w:r/>
      <w:bookmarkEnd w:id="147"/>
      <w:r/>
      <w:bookmarkEnd w:id="148"/>
      <w:r/>
      <w:bookmarkEnd w:id="149"/>
      <w:r>
        <w:rPr>
          <w:rFonts w:ascii="楷体" w:hAnsi="楷体" w:eastAsia="楷体"/>
          <w:b/>
          <w:sz w:val="28"/>
          <w:szCs w:val="28"/>
        </w:rPr>
        <w:t xml:space="preserve"> </w:t>
      </w:r>
      <w:r/>
    </w:p>
    <w:p>
      <w:pPr>
        <w:ind w:firstLine="560"/>
        <w:spacing w:line="490" w:lineRule="exact"/>
        <w:rPr>
          <w:rFonts w:ascii="宋体"/>
          <w:sz w:val="28"/>
          <w:szCs w:val="28"/>
        </w:rPr>
      </w:pPr>
      <w:r>
        <w:rPr>
          <w:rFonts w:hint="eastAsia" w:ascii="宋体" w:hAnsi="宋体" w:cs="宋体"/>
          <w:sz w:val="28"/>
          <w:szCs w:val="28"/>
        </w:rPr>
        <w:t xml:space="preserve">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r/>
    </w:p>
    <w:p>
      <w:pPr>
        <w:ind w:firstLine="560"/>
        <w:spacing w:line="490" w:lineRule="exact"/>
        <w:rPr>
          <w:rFonts w:ascii="宋体"/>
          <w:sz w:val="28"/>
          <w:szCs w:val="28"/>
        </w:rPr>
      </w:pPr>
      <w:r>
        <w:rPr>
          <w:rFonts w:hint="eastAsia" w:ascii="宋体" w:hAnsi="宋体" w:cs="宋体"/>
          <w:sz w:val="28"/>
          <w:szCs w:val="28"/>
        </w:rPr>
        <w:t xml:space="preserve">招标文件的澄清将在投标截止时间</w:t>
      </w:r>
      <w:r>
        <w:rPr>
          <w:rFonts w:ascii="宋体" w:hAnsi="宋体"/>
          <w:sz w:val="28"/>
          <w:szCs w:val="28"/>
        </w:rPr>
        <w:t xml:space="preserve">15</w:t>
      </w:r>
      <w:r>
        <w:rPr>
          <w:rFonts w:hint="eastAsia" w:ascii="宋体" w:hAnsi="宋体" w:cs="宋体"/>
          <w:sz w:val="28"/>
          <w:szCs w:val="28"/>
        </w:rPr>
        <w:t xml:space="preserve">天前在原公告信息发布媒体公开发布</w:t>
      </w:r>
      <w:r>
        <w:rPr>
          <w:rFonts w:ascii="宋体"/>
          <w:sz w:val="28"/>
          <w:szCs w:val="28"/>
        </w:rPr>
        <w:t xml:space="preserve">,</w:t>
      </w:r>
      <w:r>
        <w:rPr>
          <w:rFonts w:hint="eastAsia" w:ascii="宋体" w:hAnsi="宋体" w:cs="宋体"/>
          <w:sz w:val="28"/>
          <w:szCs w:val="28"/>
        </w:rPr>
        <w:t xml:space="preserve">但不指明问题的来源。如果澄清发布的时间距投标截止时间不足</w:t>
      </w:r>
      <w:r>
        <w:rPr>
          <w:rFonts w:ascii="宋体" w:hAnsi="宋体"/>
          <w:sz w:val="28"/>
          <w:szCs w:val="28"/>
        </w:rPr>
        <w:t xml:space="preserve">15</w:t>
      </w:r>
      <w:r>
        <w:rPr>
          <w:rFonts w:hint="eastAsia" w:ascii="宋体" w:hAnsi="宋体" w:cs="宋体"/>
          <w:sz w:val="28"/>
          <w:szCs w:val="28"/>
        </w:rPr>
        <w:t xml:space="preserve">天，并且澄清内容影响投标文件编制的，将相应延长投标截止时间。</w:t>
      </w:r>
      <w:r/>
    </w:p>
    <w:p>
      <w:pPr>
        <w:spacing w:line="490" w:lineRule="exact"/>
        <w:rPr>
          <w:rFonts w:ascii="楷体" w:hAnsi="楷体" w:eastAsia="楷体"/>
          <w:b/>
          <w:sz w:val="28"/>
          <w:szCs w:val="28"/>
        </w:rPr>
      </w:pPr>
      <w:r/>
      <w:bookmarkStart w:id="150" w:name="_Toc343525520"/>
      <w:r/>
      <w:bookmarkStart w:id="151" w:name="_Toc144974513"/>
      <w:r/>
      <w:bookmarkStart w:id="152" w:name="_Toc246996933"/>
      <w:r/>
      <w:bookmarkStart w:id="153" w:name="_Toc426469885"/>
      <w:r/>
      <w:bookmarkStart w:id="154" w:name="_Toc179632563"/>
      <w:r/>
      <w:bookmarkStart w:id="155" w:name="_Toc383438607"/>
      <w:r/>
      <w:bookmarkStart w:id="156" w:name="_Toc152045545"/>
      <w:r/>
      <w:bookmarkStart w:id="157" w:name="_Toc246996190"/>
      <w:r/>
      <w:bookmarkStart w:id="158" w:name="_Toc247085704"/>
      <w:r/>
      <w:bookmarkStart w:id="159" w:name="_Toc152042321"/>
      <w:r>
        <w:rPr>
          <w:rFonts w:ascii="楷体" w:hAnsi="楷体" w:eastAsia="楷体"/>
          <w:b/>
          <w:sz w:val="28"/>
          <w:szCs w:val="28"/>
        </w:rPr>
        <w:t xml:space="preserve">2.3 </w:t>
      </w:r>
      <w:r>
        <w:rPr>
          <w:rFonts w:hint="eastAsia" w:ascii="楷体" w:hAnsi="楷体" w:eastAsia="楷体" w:cs="宋体"/>
          <w:b/>
          <w:sz w:val="28"/>
          <w:szCs w:val="28"/>
        </w:rPr>
        <w:t xml:space="preserve">招标文件的修改</w:t>
      </w:r>
      <w:bookmarkEnd w:id="150"/>
      <w:r/>
      <w:bookmarkEnd w:id="151"/>
      <w:r/>
      <w:bookmarkEnd w:id="152"/>
      <w:r/>
      <w:bookmarkEnd w:id="153"/>
      <w:r/>
      <w:bookmarkEnd w:id="154"/>
      <w:r/>
      <w:bookmarkEnd w:id="155"/>
      <w:r/>
      <w:bookmarkEnd w:id="156"/>
      <w:r/>
      <w:bookmarkEnd w:id="157"/>
      <w:r/>
      <w:bookmarkEnd w:id="158"/>
      <w:r/>
      <w:bookmarkEnd w:id="159"/>
      <w:r/>
      <w:r/>
    </w:p>
    <w:p>
      <w:pPr>
        <w:ind w:firstLine="560"/>
        <w:spacing w:line="490" w:lineRule="exact"/>
        <w:rPr>
          <w:rFonts w:ascii="宋体" w:hAnsi="宋体" w:cs="宋体"/>
          <w:sz w:val="28"/>
          <w:szCs w:val="28"/>
        </w:rPr>
      </w:pPr>
      <w:r>
        <w:rPr>
          <w:rFonts w:hint="eastAsia" w:ascii="宋体" w:hAnsi="宋体" w:cs="宋体"/>
          <w:sz w:val="28"/>
          <w:szCs w:val="28"/>
        </w:rPr>
        <w:t xml:space="preserve">对已发出的招标文件可以进行必要的修改，修改后的内容是招标文件的组成部分，并将在原公告信息发布媒体公开发布。如果修改招标文件的时间距投标截止时间不足</w:t>
      </w:r>
      <w:r>
        <w:rPr>
          <w:rFonts w:ascii="宋体" w:hAnsi="宋体" w:cs="宋体"/>
          <w:sz w:val="28"/>
          <w:szCs w:val="28"/>
        </w:rPr>
        <w:t xml:space="preserve">15</w:t>
      </w:r>
      <w:r>
        <w:rPr>
          <w:rFonts w:hint="eastAsia" w:ascii="宋体" w:hAnsi="宋体" w:cs="宋体"/>
          <w:sz w:val="28"/>
          <w:szCs w:val="28"/>
        </w:rPr>
        <w:t xml:space="preserve">天，并且修改内容影响投标文件编制的，将相应延长投标截止时间。</w:t>
      </w:r>
      <w:r/>
    </w:p>
    <w:p>
      <w:pPr>
        <w:spacing w:line="490" w:lineRule="exact"/>
        <w:rPr>
          <w:rFonts w:ascii="楷体" w:hAnsi="楷体" w:eastAsia="楷体" w:cs="宋体"/>
          <w:b/>
          <w:sz w:val="28"/>
          <w:szCs w:val="28"/>
        </w:rPr>
      </w:pPr>
      <w:r>
        <w:rPr>
          <w:rFonts w:hint="eastAsia" w:ascii="楷体" w:hAnsi="楷体" w:eastAsia="楷体" w:cs="宋体"/>
          <w:b/>
          <w:sz w:val="28"/>
          <w:szCs w:val="28"/>
        </w:rPr>
        <w:t xml:space="preserve">2.4 招标文件的重新发布</w:t>
      </w:r>
      <w:r/>
    </w:p>
    <w:p>
      <w:pPr>
        <w:ind w:firstLine="560"/>
        <w:spacing w:line="490" w:lineRule="exact"/>
        <w:rPr>
          <w:rFonts w:ascii="宋体" w:hAnsi="宋体" w:cs="宋体"/>
          <w:sz w:val="28"/>
          <w:szCs w:val="28"/>
        </w:rPr>
      </w:pPr>
      <w:r>
        <w:rPr>
          <w:rFonts w:hint="eastAsia" w:ascii="宋体" w:hAnsi="宋体" w:cs="宋体"/>
          <w:sz w:val="28"/>
          <w:szCs w:val="28"/>
        </w:rPr>
        <w:t xml:space="preserve">招标文件的澄清或修改涉及到申请人的资格条件、评标办法、采购需求等实质性内容时，将重新发布招标公告。</w:t>
      </w:r>
      <w:r/>
    </w:p>
    <w:p>
      <w:pPr>
        <w:spacing w:line="490" w:lineRule="exact"/>
        <w:rPr>
          <w:rFonts w:ascii="黑体" w:hAnsi="黑体" w:eastAsia="黑体"/>
          <w:b/>
          <w:sz w:val="32"/>
          <w:szCs w:val="32"/>
        </w:rPr>
      </w:pPr>
      <w:r/>
      <w:bookmarkStart w:id="160" w:name="_Toc246996934"/>
      <w:r/>
      <w:bookmarkStart w:id="161" w:name="_Toc152045546"/>
      <w:r/>
      <w:bookmarkStart w:id="162" w:name="_Toc179632564"/>
      <w:r/>
      <w:bookmarkStart w:id="163" w:name="_Toc152042322"/>
      <w:r/>
      <w:bookmarkStart w:id="164" w:name="_Toc246996191"/>
      <w:r/>
      <w:bookmarkStart w:id="165" w:name="_Toc383438609"/>
      <w:r/>
      <w:bookmarkStart w:id="166" w:name="_Toc247085705"/>
      <w:r/>
      <w:bookmarkStart w:id="167" w:name="_Toc343525522"/>
      <w:r/>
      <w:bookmarkStart w:id="168" w:name="_Toc144974514"/>
      <w:r/>
      <w:bookmarkStart w:id="169" w:name="_Toc426469887"/>
      <w:r>
        <w:rPr>
          <w:rFonts w:ascii="黑体" w:hAnsi="黑体" w:eastAsia="黑体"/>
          <w:b/>
          <w:sz w:val="32"/>
          <w:szCs w:val="32"/>
        </w:rPr>
        <w:t xml:space="preserve">3. </w:t>
      </w:r>
      <w:r>
        <w:rPr>
          <w:rFonts w:hint="eastAsia" w:ascii="黑体" w:hAnsi="黑体" w:eastAsia="黑体" w:cs="宋体"/>
          <w:b/>
          <w:sz w:val="32"/>
          <w:szCs w:val="32"/>
        </w:rPr>
        <w:t xml:space="preserve">投标</w:t>
      </w:r>
      <w:bookmarkEnd w:id="160"/>
      <w:r/>
      <w:bookmarkEnd w:id="161"/>
      <w:r/>
      <w:bookmarkEnd w:id="162"/>
      <w:r/>
      <w:bookmarkEnd w:id="163"/>
      <w:r/>
      <w:bookmarkEnd w:id="164"/>
      <w:r/>
      <w:bookmarkEnd w:id="165"/>
      <w:r/>
      <w:bookmarkEnd w:id="166"/>
      <w:r/>
      <w:bookmarkEnd w:id="167"/>
      <w:r/>
      <w:bookmarkEnd w:id="168"/>
      <w:r>
        <w:rPr>
          <w:rFonts w:hint="eastAsia" w:ascii="黑体" w:hAnsi="黑体" w:eastAsia="黑体" w:cs="宋体"/>
          <w:b/>
          <w:sz w:val="32"/>
          <w:szCs w:val="32"/>
        </w:rPr>
        <w:t xml:space="preserve">文件</w:t>
      </w:r>
      <w:bookmarkEnd w:id="169"/>
      <w:r/>
      <w:r/>
    </w:p>
    <w:p>
      <w:pPr>
        <w:spacing w:line="490" w:lineRule="exact"/>
        <w:rPr>
          <w:rFonts w:ascii="楷体" w:hAnsi="楷体" w:eastAsia="楷体" w:cs="宋体"/>
          <w:b/>
          <w:sz w:val="28"/>
          <w:szCs w:val="28"/>
        </w:rPr>
      </w:pPr>
      <w:r/>
      <w:bookmarkStart w:id="170" w:name="_Toc246996192"/>
      <w:r/>
      <w:bookmarkStart w:id="171" w:name="_Toc152042323"/>
      <w:r/>
      <w:bookmarkStart w:id="172" w:name="_Toc383438610"/>
      <w:r/>
      <w:bookmarkStart w:id="173" w:name="_Toc144974515"/>
      <w:r/>
      <w:bookmarkStart w:id="174" w:name="_Toc246996935"/>
      <w:r/>
      <w:bookmarkStart w:id="175" w:name="_Toc247085706"/>
      <w:r/>
      <w:bookmarkStart w:id="176" w:name="_Toc343525523"/>
      <w:r/>
      <w:bookmarkStart w:id="177" w:name="_Toc152045547"/>
      <w:r/>
      <w:bookmarkStart w:id="178" w:name="_Toc179632565"/>
      <w:r/>
      <w:bookmarkStart w:id="179" w:name="_Toc426469888"/>
      <w:r>
        <w:rPr>
          <w:rFonts w:ascii="楷体" w:hAnsi="楷体" w:eastAsia="楷体"/>
          <w:b/>
          <w:sz w:val="28"/>
          <w:szCs w:val="28"/>
        </w:rPr>
        <w:t xml:space="preserve">3</w:t>
      </w:r>
      <w:r>
        <w:rPr>
          <w:rFonts w:ascii="楷体" w:hAnsi="楷体" w:eastAsia="楷体" w:cs="宋体"/>
          <w:b/>
          <w:sz w:val="28"/>
          <w:szCs w:val="28"/>
        </w:rPr>
        <w:t xml:space="preserve">.1</w:t>
      </w:r>
      <w:bookmarkEnd w:id="170"/>
      <w:r/>
      <w:bookmarkEnd w:id="171"/>
      <w:r/>
      <w:bookmarkEnd w:id="172"/>
      <w:r/>
      <w:bookmarkEnd w:id="173"/>
      <w:r/>
      <w:bookmarkEnd w:id="174"/>
      <w:r/>
      <w:bookmarkEnd w:id="175"/>
      <w:r/>
      <w:bookmarkEnd w:id="176"/>
      <w:r/>
      <w:bookmarkEnd w:id="177"/>
      <w:r/>
      <w:bookmarkEnd w:id="178"/>
      <w:r>
        <w:rPr>
          <w:rFonts w:hint="eastAsia" w:ascii="楷体" w:hAnsi="楷体" w:eastAsia="楷体" w:cs="宋体"/>
          <w:b/>
          <w:sz w:val="28"/>
          <w:szCs w:val="28"/>
        </w:rPr>
        <w:t xml:space="preserve"> 投标文件的组成</w:t>
      </w:r>
      <w:bookmarkEnd w:id="179"/>
      <w:r/>
      <w:r/>
    </w:p>
    <w:p>
      <w:pPr>
        <w:ind w:firstLine="560"/>
        <w:spacing w:line="490" w:lineRule="exact"/>
        <w:rPr>
          <w:rFonts w:ascii="宋体" w:hAnsi="宋体" w:cs="宋体"/>
          <w:sz w:val="28"/>
          <w:szCs w:val="28"/>
        </w:rPr>
      </w:pPr>
      <w:r>
        <w:rPr>
          <w:rFonts w:hint="eastAsia" w:ascii="宋体" w:hAnsi="宋体" w:cs="宋体"/>
          <w:sz w:val="28"/>
          <w:szCs w:val="28"/>
        </w:rPr>
        <w:t xml:space="preserve">投标文件的组成：见供应商须知前附表。</w:t>
      </w:r>
      <w:r/>
    </w:p>
    <w:p>
      <w:pPr>
        <w:spacing w:line="490" w:lineRule="exact"/>
        <w:rPr>
          <w:rFonts w:ascii="楷体" w:hAnsi="楷体" w:eastAsia="楷体" w:cs="宋体"/>
          <w:b/>
          <w:sz w:val="28"/>
          <w:szCs w:val="28"/>
        </w:rPr>
      </w:pPr>
      <w:r/>
      <w:bookmarkStart w:id="180" w:name="_Toc367785004"/>
      <w:r/>
      <w:bookmarkStart w:id="181" w:name="_Toc426469889"/>
      <w:r>
        <w:rPr>
          <w:rFonts w:ascii="楷体" w:hAnsi="楷体" w:eastAsia="楷体" w:cs="宋体"/>
          <w:b/>
          <w:sz w:val="28"/>
          <w:szCs w:val="28"/>
        </w:rPr>
        <w:t xml:space="preserve">3.2</w:t>
      </w:r>
      <w:bookmarkEnd w:id="180"/>
      <w:r>
        <w:rPr>
          <w:rFonts w:hint="eastAsia" w:ascii="楷体" w:hAnsi="楷体" w:eastAsia="楷体" w:cs="宋体"/>
          <w:b/>
          <w:sz w:val="28"/>
          <w:szCs w:val="28"/>
        </w:rPr>
        <w:t xml:space="preserve"> 投标报价</w:t>
      </w:r>
      <w:bookmarkEnd w:id="181"/>
      <w:r/>
      <w:r/>
    </w:p>
    <w:p>
      <w:pPr>
        <w:ind w:firstLine="560"/>
        <w:spacing w:line="490" w:lineRule="exact"/>
        <w:rPr>
          <w:rFonts w:ascii="宋体" w:hAnsi="宋体" w:cs="宋体"/>
          <w:sz w:val="28"/>
          <w:szCs w:val="28"/>
        </w:rPr>
      </w:pPr>
      <w:r>
        <w:rPr>
          <w:rFonts w:ascii="宋体" w:hAnsi="宋体" w:cs="宋体"/>
          <w:sz w:val="28"/>
          <w:szCs w:val="28"/>
        </w:rPr>
        <w:t xml:space="preserve">3.2.1</w:t>
      </w:r>
      <w:r>
        <w:rPr>
          <w:rFonts w:hint="eastAsia" w:ascii="宋体" w:hAnsi="宋体" w:cs="宋体"/>
          <w:sz w:val="28"/>
          <w:szCs w:val="28"/>
        </w:rPr>
        <w:t xml:space="preserve"> 供应商应按招标文件规定的供货及服务要求、责任范围和合同条件，以人民币进行报价。</w:t>
      </w:r>
      <w:r/>
    </w:p>
    <w:p>
      <w:pPr>
        <w:ind w:firstLine="560"/>
        <w:spacing w:line="490" w:lineRule="exact"/>
        <w:rPr>
          <w:rFonts w:ascii="宋体" w:hAnsi="宋体"/>
          <w:sz w:val="28"/>
          <w:szCs w:val="28"/>
        </w:rPr>
      </w:pPr>
      <w:r>
        <w:rPr>
          <w:rFonts w:ascii="宋体" w:hAnsi="宋体"/>
          <w:sz w:val="28"/>
          <w:szCs w:val="28"/>
        </w:rPr>
        <w:t xml:space="preserve">3.2.2</w:t>
      </w:r>
      <w:r>
        <w:rPr>
          <w:rFonts w:hint="eastAsia" w:ascii="宋体" w:hAnsi="宋体"/>
          <w:sz w:val="28"/>
          <w:szCs w:val="28"/>
        </w:rPr>
        <w:t xml:space="preserve"> </w:t>
      </w:r>
      <w:r>
        <w:rPr>
          <w:rFonts w:ascii="宋体" w:hAnsi="宋体"/>
          <w:sz w:val="28"/>
          <w:szCs w:val="28"/>
        </w:rPr>
        <w:t xml:space="preserve">供应商在投标文件中只能有一个投标报价，且</w:t>
      </w:r>
      <w:r>
        <w:rPr>
          <w:rFonts w:hint="eastAsia" w:ascii="宋体" w:hAnsi="宋体" w:cs="宋体"/>
          <w:sz w:val="28"/>
          <w:szCs w:val="28"/>
        </w:rPr>
        <w:t xml:space="preserve">不得超过招标公告中载明的最高限价。任何包含价格调整要求和条件的投标报价均将视为无效报价。</w:t>
      </w:r>
      <w:r/>
    </w:p>
    <w:p>
      <w:pPr>
        <w:spacing w:line="490" w:lineRule="exact"/>
        <w:rPr>
          <w:rFonts w:ascii="楷体" w:hAnsi="楷体" w:eastAsia="楷体"/>
          <w:b/>
          <w:sz w:val="28"/>
          <w:szCs w:val="28"/>
        </w:rPr>
      </w:pPr>
      <w:r/>
      <w:bookmarkStart w:id="182" w:name="_Toc383438612"/>
      <w:r/>
      <w:bookmarkStart w:id="183" w:name="_Toc152042325"/>
      <w:r/>
      <w:bookmarkStart w:id="184" w:name="_Toc426469890"/>
      <w:r/>
      <w:bookmarkStart w:id="185" w:name="_Toc246996937"/>
      <w:r/>
      <w:bookmarkStart w:id="186" w:name="_Toc179632567"/>
      <w:r/>
      <w:bookmarkStart w:id="187" w:name="_Toc247085708"/>
      <w:r/>
      <w:bookmarkStart w:id="188" w:name="_Toc246996194"/>
      <w:r/>
      <w:bookmarkStart w:id="189" w:name="_Toc152045549"/>
      <w:r/>
      <w:bookmarkStart w:id="190" w:name="_Toc343525525"/>
      <w:r/>
      <w:bookmarkStart w:id="191" w:name="_Toc144974517"/>
      <w:r>
        <w:rPr>
          <w:rFonts w:ascii="楷体" w:hAnsi="楷体" w:eastAsia="楷体"/>
          <w:b/>
          <w:sz w:val="28"/>
          <w:szCs w:val="28"/>
        </w:rPr>
        <w:t xml:space="preserve">3.3</w:t>
      </w:r>
      <w:r>
        <w:rPr>
          <w:rFonts w:hint="eastAsia" w:ascii="楷体" w:hAnsi="楷体" w:eastAsia="楷体"/>
          <w:b/>
          <w:sz w:val="28"/>
          <w:szCs w:val="28"/>
        </w:rPr>
        <w:t xml:space="preserve"> </w:t>
      </w:r>
      <w:r>
        <w:rPr>
          <w:rFonts w:hint="eastAsia" w:ascii="楷体" w:hAnsi="楷体" w:eastAsia="楷体" w:cs="宋体"/>
          <w:b/>
          <w:sz w:val="28"/>
          <w:szCs w:val="28"/>
        </w:rPr>
        <w:t xml:space="preserve">投标有效期</w:t>
      </w:r>
      <w:bookmarkEnd w:id="182"/>
      <w:r/>
      <w:bookmarkEnd w:id="183"/>
      <w:r/>
      <w:bookmarkEnd w:id="184"/>
      <w:r/>
      <w:bookmarkEnd w:id="185"/>
      <w:r/>
      <w:bookmarkEnd w:id="186"/>
      <w:r/>
      <w:bookmarkEnd w:id="187"/>
      <w:r/>
      <w:bookmarkEnd w:id="188"/>
      <w:r/>
      <w:bookmarkEnd w:id="189"/>
      <w:r/>
      <w:bookmarkEnd w:id="190"/>
      <w:r/>
      <w:bookmarkEnd w:id="191"/>
      <w:r/>
      <w:r/>
    </w:p>
    <w:p>
      <w:pPr>
        <w:ind w:firstLine="560"/>
        <w:spacing w:line="490" w:lineRule="exact"/>
        <w:rPr>
          <w:rFonts w:ascii="宋体"/>
          <w:sz w:val="28"/>
          <w:szCs w:val="28"/>
        </w:rPr>
      </w:pPr>
      <w:r>
        <w:rPr>
          <w:rFonts w:ascii="宋体" w:hAnsi="宋体"/>
          <w:sz w:val="28"/>
          <w:szCs w:val="28"/>
        </w:rPr>
        <w:t xml:space="preserve">3.3.1</w:t>
      </w:r>
      <w:r>
        <w:rPr>
          <w:rFonts w:hint="eastAsia" w:ascii="宋体" w:hAnsi="宋体"/>
          <w:sz w:val="28"/>
          <w:szCs w:val="28"/>
        </w:rPr>
        <w:t xml:space="preserve"> </w:t>
      </w:r>
      <w:r>
        <w:rPr>
          <w:rFonts w:ascii="宋体" w:hAnsi="宋体"/>
          <w:sz w:val="28"/>
          <w:szCs w:val="28"/>
        </w:rPr>
        <w:t xml:space="preserve">在</w:t>
      </w:r>
      <w:r>
        <w:rPr>
          <w:rFonts w:hint="eastAsia" w:ascii="宋体" w:hAnsi="宋体" w:cs="宋体"/>
          <w:sz w:val="28"/>
          <w:szCs w:val="28"/>
        </w:rPr>
        <w:t xml:space="preserve">供应商须知前附表规定的投标有效期内，供应商不得要求撤销或修改其投标文件。</w:t>
      </w:r>
      <w:r/>
    </w:p>
    <w:p>
      <w:pPr>
        <w:ind w:firstLine="560"/>
        <w:spacing w:line="490" w:lineRule="exact"/>
        <w:rPr>
          <w:rFonts w:ascii="宋体"/>
          <w:sz w:val="28"/>
          <w:szCs w:val="28"/>
        </w:rPr>
      </w:pPr>
      <w:r>
        <w:rPr>
          <w:rFonts w:ascii="宋体" w:hAnsi="宋体"/>
          <w:sz w:val="28"/>
          <w:szCs w:val="28"/>
        </w:rPr>
        <w:t xml:space="preserve">3.3.2</w:t>
      </w:r>
      <w:r>
        <w:rPr>
          <w:rFonts w:hint="eastAsia" w:ascii="宋体" w:hAnsi="宋体"/>
          <w:sz w:val="28"/>
          <w:szCs w:val="28"/>
        </w:rPr>
        <w:t xml:space="preserve"> </w:t>
      </w:r>
      <w:r>
        <w:rPr>
          <w:rFonts w:hint="eastAsia" w:ascii="宋体" w:hAnsi="宋体" w:cs="宋体"/>
          <w:sz w:val="28"/>
          <w:szCs w:val="28"/>
        </w:rPr>
        <w:t xml:space="preserve">出现特殊情况需要延长投标有效期的，招标人将以书面形式通知供应商。供应商拒绝延长投标有效期的，其投标失效。</w:t>
      </w:r>
      <w:r/>
    </w:p>
    <w:p>
      <w:pPr>
        <w:spacing w:line="490" w:lineRule="exact"/>
        <w:rPr>
          <w:rFonts w:ascii="楷体" w:hAnsi="楷体" w:eastAsia="楷体"/>
          <w:b/>
          <w:sz w:val="28"/>
          <w:szCs w:val="28"/>
        </w:rPr>
      </w:pPr>
      <w:r/>
      <w:bookmarkStart w:id="192" w:name="_Toc426469892"/>
      <w:r>
        <w:rPr>
          <w:rFonts w:ascii="楷体" w:hAnsi="楷体" w:eastAsia="楷体"/>
          <w:b/>
          <w:sz w:val="28"/>
          <w:szCs w:val="28"/>
        </w:rPr>
        <w:t xml:space="preserve">3.4</w:t>
      </w:r>
      <w:r>
        <w:rPr>
          <w:rFonts w:hint="eastAsia" w:ascii="楷体" w:hAnsi="楷体" w:eastAsia="楷体"/>
          <w:b/>
          <w:sz w:val="28"/>
          <w:szCs w:val="28"/>
        </w:rPr>
        <w:t xml:space="preserve"> </w:t>
      </w:r>
      <w:r>
        <w:rPr>
          <w:rFonts w:hint="eastAsia" w:ascii="楷体" w:hAnsi="楷体" w:eastAsia="楷体" w:cs="宋体"/>
          <w:b/>
          <w:sz w:val="28"/>
          <w:szCs w:val="28"/>
        </w:rPr>
        <w:t xml:space="preserve">投标文件的编制</w:t>
      </w:r>
      <w:bookmarkEnd w:id="192"/>
      <w:r/>
      <w:r/>
    </w:p>
    <w:p>
      <w:pPr>
        <w:ind w:firstLine="560"/>
        <w:spacing w:line="490" w:lineRule="exact"/>
        <w:rPr>
          <w:rFonts w:ascii="宋体"/>
          <w:sz w:val="28"/>
          <w:szCs w:val="28"/>
        </w:rPr>
      </w:pPr>
      <w:r>
        <w:rPr>
          <w:rFonts w:ascii="宋体" w:hAnsi="宋体"/>
          <w:sz w:val="28"/>
          <w:szCs w:val="28"/>
        </w:rPr>
        <w:t xml:space="preserve">3.4.1</w:t>
      </w:r>
      <w:r>
        <w:rPr>
          <w:rFonts w:hint="eastAsia" w:ascii="宋体" w:hAnsi="宋体"/>
          <w:sz w:val="28"/>
          <w:szCs w:val="28"/>
        </w:rPr>
        <w:t xml:space="preserve"> </w:t>
      </w:r>
      <w:r>
        <w:rPr>
          <w:rFonts w:hint="eastAsia" w:ascii="宋体" w:hAnsi="宋体" w:cs="宋体"/>
          <w:sz w:val="28"/>
          <w:szCs w:val="28"/>
        </w:rPr>
        <w:t xml:space="preserve">供应商可以按照第六章</w:t>
      </w:r>
      <w:r>
        <w:rPr>
          <w:rFonts w:hint="eastAsia" w:ascii="宋体" w:hAnsi="宋体"/>
          <w:sz w:val="28"/>
          <w:szCs w:val="28"/>
        </w:rPr>
        <w:t xml:space="preserve">“</w:t>
      </w:r>
      <w:r>
        <w:rPr>
          <w:rFonts w:hint="eastAsia" w:ascii="宋体" w:hAnsi="宋体" w:cs="宋体"/>
          <w:sz w:val="28"/>
          <w:szCs w:val="28"/>
        </w:rPr>
        <w:t xml:space="preserve">投标文件的编制要求及参考格式</w:t>
      </w:r>
      <w:r>
        <w:rPr>
          <w:rFonts w:hint="eastAsia" w:ascii="宋体" w:hAnsi="宋体"/>
          <w:sz w:val="28"/>
          <w:szCs w:val="28"/>
        </w:rPr>
        <w:t xml:space="preserve">”</w:t>
      </w:r>
      <w:r>
        <w:rPr>
          <w:rFonts w:hint="eastAsia" w:ascii="宋体" w:hAnsi="宋体" w:cs="宋体"/>
          <w:sz w:val="28"/>
          <w:szCs w:val="28"/>
        </w:rPr>
        <w:t xml:space="preserve">要求编制投标文件。需另行增加的相关内容和材料应编入投标文件相应章节，作为投标文件的组成部分。</w:t>
      </w:r>
      <w:r/>
    </w:p>
    <w:p>
      <w:pPr>
        <w:ind w:firstLine="560"/>
        <w:spacing w:line="490" w:lineRule="exact"/>
        <w:rPr>
          <w:rFonts w:ascii="宋体" w:hAnsi="宋体"/>
          <w:sz w:val="28"/>
          <w:szCs w:val="28"/>
        </w:rPr>
      </w:pPr>
      <w:r>
        <w:rPr>
          <w:rFonts w:ascii="宋体" w:hAnsi="宋体"/>
          <w:sz w:val="28"/>
          <w:szCs w:val="28"/>
        </w:rPr>
        <w:t xml:space="preserve">3.4.2</w:t>
      </w:r>
      <w:r>
        <w:rPr>
          <w:rFonts w:hint="eastAsia" w:ascii="宋体" w:hAnsi="宋体"/>
          <w:sz w:val="28"/>
          <w:szCs w:val="28"/>
        </w:rPr>
        <w:t xml:space="preserve"> </w:t>
      </w:r>
      <w:r>
        <w:rPr>
          <w:rFonts w:ascii="宋体" w:hAnsi="宋体"/>
          <w:sz w:val="28"/>
          <w:szCs w:val="28"/>
        </w:rPr>
        <w:t xml:space="preserve">供应商应对招标文件中的资格要求、</w:t>
      </w:r>
      <w:r>
        <w:rPr>
          <w:rFonts w:hint="eastAsia" w:ascii="宋体" w:hAnsi="宋体" w:cs="宋体"/>
          <w:sz w:val="28"/>
          <w:szCs w:val="28"/>
        </w:rPr>
        <w:t xml:space="preserve">合同履行期限、投标有效期、技术、服务标准和要求等实质性内容作出响应，并根据评审因素提供相应的证明材料。</w:t>
      </w:r>
      <w:r/>
    </w:p>
    <w:p>
      <w:pPr>
        <w:ind w:firstLine="560"/>
        <w:spacing w:line="490" w:lineRule="exact"/>
        <w:rPr>
          <w:rFonts w:ascii="宋体" w:hAnsi="宋体"/>
          <w:sz w:val="28"/>
          <w:szCs w:val="28"/>
        </w:rPr>
      </w:pPr>
      <w:r>
        <w:rPr>
          <w:rFonts w:hint="eastAsia" w:ascii="宋体" w:hAnsi="宋体"/>
          <w:sz w:val="28"/>
          <w:szCs w:val="28"/>
        </w:rPr>
        <w:t xml:space="preserve">3.4.3 投标文件的数量：见供应商须知前附表</w:t>
      </w:r>
      <w:r/>
    </w:p>
    <w:p>
      <w:pPr>
        <w:ind w:firstLine="560"/>
        <w:spacing w:line="490" w:lineRule="exact"/>
        <w:rPr>
          <w:rFonts w:ascii="宋体" w:hAnsi="宋体"/>
          <w:sz w:val="28"/>
          <w:szCs w:val="28"/>
        </w:rPr>
      </w:pPr>
      <w:r/>
      <w:bookmarkStart w:id="193" w:name="_Toc426469894"/>
      <w:r/>
      <w:bookmarkStart w:id="194" w:name="_Toc367785016"/>
      <w:r>
        <w:rPr>
          <w:rFonts w:hint="eastAsia" w:ascii="宋体" w:hAnsi="宋体"/>
          <w:sz w:val="28"/>
          <w:szCs w:val="28"/>
        </w:rPr>
        <w:t xml:space="preserve">3.4.4 投标文件的签署：见供应商须知前附表</w:t>
      </w:r>
      <w:bookmarkEnd w:id="65"/>
      <w:r/>
      <w:bookmarkEnd w:id="193"/>
      <w:r/>
      <w:bookmarkEnd w:id="194"/>
      <w:r/>
      <w:r/>
    </w:p>
    <w:p>
      <w:pPr>
        <w:spacing w:line="490" w:lineRule="exact"/>
        <w:rPr>
          <w:rFonts w:ascii="黑体" w:hAnsi="黑体" w:eastAsia="黑体"/>
          <w:sz w:val="32"/>
          <w:szCs w:val="32"/>
        </w:rPr>
      </w:pPr>
      <w:r/>
      <w:bookmarkStart w:id="195" w:name="_Toc390098841"/>
      <w:r/>
      <w:bookmarkStart w:id="196" w:name="_Toc343525562"/>
      <w:r/>
      <w:bookmarkStart w:id="197" w:name="_Toc246996230"/>
      <w:r/>
      <w:bookmarkStart w:id="198" w:name="_Toc383625994"/>
      <w:r/>
      <w:bookmarkStart w:id="199" w:name="_Toc383587457"/>
      <w:r/>
      <w:bookmarkStart w:id="200" w:name="_Toc383623945"/>
      <w:r/>
      <w:bookmarkStart w:id="201" w:name="_Toc383623673"/>
      <w:r/>
      <w:bookmarkStart w:id="202" w:name="_Toc390099019"/>
      <w:r/>
      <w:bookmarkStart w:id="203" w:name="_Toc152045587"/>
      <w:r/>
      <w:bookmarkStart w:id="204" w:name="_Toc390246906"/>
      <w:r/>
      <w:bookmarkStart w:id="205" w:name="_Toc246996973"/>
      <w:r/>
      <w:bookmarkStart w:id="206" w:name="_Toc144974554"/>
      <w:r/>
      <w:bookmarkStart w:id="207" w:name="_Toc383679747"/>
      <w:r/>
      <w:bookmarkStart w:id="208" w:name="_Toc383438646"/>
      <w:r/>
      <w:bookmarkStart w:id="209" w:name="_Toc179632605"/>
      <w:r/>
      <w:bookmarkStart w:id="210" w:name="_Toc383698648"/>
      <w:r/>
      <w:bookmarkStart w:id="211" w:name="_Toc152042364"/>
      <w:r/>
      <w:bookmarkStart w:id="212" w:name="_Toc247085745"/>
      <w:r>
        <w:rPr>
          <w:rFonts w:ascii="黑体" w:hAnsi="黑体" w:eastAsia="黑体"/>
          <w:sz w:val="32"/>
          <w:szCs w:val="32"/>
        </w:rPr>
        <w:t xml:space="preserve">4.</w:t>
      </w:r>
      <w:r>
        <w:rPr>
          <w:rFonts w:hint="eastAsia" w:ascii="黑体" w:hAnsi="黑体" w:eastAsia="黑体" w:cs="宋体"/>
          <w:sz w:val="32"/>
          <w:szCs w:val="32"/>
        </w:rPr>
        <w:t xml:space="preserve">投标</w:t>
      </w:r>
      <w:r/>
    </w:p>
    <w:p>
      <w:pPr>
        <w:spacing w:line="490" w:lineRule="exact"/>
        <w:rPr>
          <w:rFonts w:ascii="楷体" w:hAnsi="楷体" w:eastAsia="楷体" w:cs="宋体"/>
          <w:b/>
          <w:bCs/>
          <w:sz w:val="28"/>
          <w:szCs w:val="28"/>
        </w:rPr>
      </w:pPr>
      <w:r>
        <w:rPr>
          <w:rFonts w:ascii="楷体" w:hAnsi="楷体" w:eastAsia="楷体"/>
          <w:b/>
          <w:sz w:val="28"/>
          <w:szCs w:val="28"/>
        </w:rPr>
        <w:t xml:space="preserve">4.1</w:t>
      </w:r>
      <w:r>
        <w:rPr>
          <w:rFonts w:hint="eastAsia" w:ascii="楷体" w:hAnsi="楷体" w:eastAsia="楷体" w:cs="宋体"/>
          <w:b/>
          <w:bCs/>
          <w:sz w:val="28"/>
          <w:szCs w:val="28"/>
        </w:rPr>
        <w:t xml:space="preserve">投标文件的上传</w:t>
      </w:r>
      <w:r/>
    </w:p>
    <w:p>
      <w:pPr>
        <w:ind w:firstLine="560"/>
        <w:spacing w:line="490" w:lineRule="exact"/>
        <w:rPr>
          <w:rFonts w:ascii="宋体" w:hAnsi="宋体" w:cs="宋体"/>
          <w:sz w:val="28"/>
          <w:szCs w:val="28"/>
        </w:rPr>
      </w:pPr>
      <w:r>
        <w:rPr>
          <w:rFonts w:hint="eastAsia" w:ascii="宋体" w:hAnsi="宋体" w:cs="宋体"/>
          <w:sz w:val="28"/>
          <w:szCs w:val="28"/>
        </w:rPr>
        <w:t xml:space="preserve">供应商应充分考虑</w:t>
      </w:r>
      <w:r>
        <w:rPr>
          <w:rFonts w:ascii="宋体" w:hAnsi="宋体" w:cs="宋体"/>
          <w:sz w:val="28"/>
          <w:szCs w:val="28"/>
        </w:rPr>
        <w:t xml:space="preserve">网络及系统平台可能存在的非正常情况等</w:t>
      </w:r>
      <w:r>
        <w:rPr>
          <w:rFonts w:hint="eastAsia" w:ascii="宋体" w:hAnsi="宋体" w:cs="宋体"/>
          <w:sz w:val="28"/>
          <w:szCs w:val="28"/>
        </w:rPr>
        <w:t xml:space="preserve">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490" w:lineRule="exact"/>
        <w:rPr>
          <w:rFonts w:ascii="楷体" w:hAnsi="楷体" w:eastAsia="楷体" w:cs="宋体"/>
          <w:b/>
          <w:sz w:val="28"/>
          <w:szCs w:val="28"/>
        </w:rPr>
      </w:pPr>
      <w:r>
        <w:rPr>
          <w:rFonts w:ascii="楷体" w:hAnsi="楷体" w:eastAsia="楷体" w:cs="宋体"/>
          <w:b/>
          <w:sz w:val="28"/>
          <w:szCs w:val="28"/>
        </w:rPr>
        <w:t xml:space="preserve">4.2</w:t>
      </w:r>
      <w:r>
        <w:rPr>
          <w:rFonts w:hint="eastAsia" w:ascii="楷体" w:hAnsi="楷体" w:eastAsia="楷体" w:cs="宋体"/>
          <w:b/>
          <w:sz w:val="28"/>
          <w:szCs w:val="28"/>
        </w:rPr>
        <w:t xml:space="preserve">投标文件的修改与撤回</w:t>
      </w:r>
      <w:r/>
    </w:p>
    <w:p>
      <w:pPr>
        <w:ind w:firstLine="560"/>
        <w:spacing w:line="490" w:lineRule="exact"/>
        <w:rPr>
          <w:rFonts w:ascii="宋体" w:hAnsi="宋体" w:cs="宋体"/>
          <w:sz w:val="28"/>
          <w:szCs w:val="28"/>
        </w:rPr>
      </w:pPr>
      <w:r>
        <w:rPr>
          <w:rFonts w:ascii="宋体" w:hAnsi="宋体" w:cs="宋体"/>
          <w:sz w:val="28"/>
          <w:szCs w:val="28"/>
        </w:rPr>
        <w:t xml:space="preserve">4.2.1</w:t>
      </w:r>
      <w:r>
        <w:rPr>
          <w:rFonts w:hint="eastAsia" w:ascii="宋体" w:hAnsi="宋体" w:cs="宋体"/>
          <w:sz w:val="28"/>
          <w:szCs w:val="28"/>
        </w:rPr>
        <w:t xml:space="preserve">在投标截止时间前，供应商可以修改或撤回已递交的投标文件。具体操作方法见《江苏省政府采购管理交易系统（苏采云）供应商操作手册》。</w:t>
      </w:r>
      <w:r/>
    </w:p>
    <w:p>
      <w:pPr>
        <w:ind w:firstLine="560"/>
        <w:spacing w:line="490" w:lineRule="exact"/>
        <w:rPr>
          <w:rFonts w:ascii="宋体" w:hAnsi="宋体" w:cs="宋体"/>
          <w:sz w:val="28"/>
          <w:szCs w:val="28"/>
        </w:rPr>
      </w:pPr>
      <w:r>
        <w:rPr>
          <w:rFonts w:ascii="宋体" w:hAnsi="宋体" w:cs="宋体"/>
          <w:sz w:val="28"/>
          <w:szCs w:val="28"/>
        </w:rPr>
        <w:t xml:space="preserve">4.2.2</w:t>
      </w:r>
      <w:r>
        <w:rPr>
          <w:rFonts w:hint="eastAsia" w:ascii="宋体" w:hAnsi="宋体" w:cs="宋体"/>
          <w:sz w:val="28"/>
          <w:szCs w:val="28"/>
        </w:rPr>
        <w:t xml:space="preserve">修改的投标文件应按照本招标文件规定进行编制和重新上传。</w:t>
      </w:r>
      <w:r/>
    </w:p>
    <w:p>
      <w:pPr>
        <w:spacing w:line="490" w:lineRule="exact"/>
        <w:rPr>
          <w:rFonts w:ascii="楷体" w:hAnsi="楷体" w:eastAsia="楷体" w:cs="宋体"/>
          <w:b/>
          <w:sz w:val="28"/>
          <w:szCs w:val="28"/>
        </w:rPr>
      </w:pPr>
      <w:r>
        <w:rPr>
          <w:rFonts w:hint="eastAsia" w:ascii="楷体" w:hAnsi="楷体" w:eastAsia="楷体" w:cs="宋体"/>
          <w:b/>
          <w:sz w:val="28"/>
          <w:szCs w:val="28"/>
        </w:rPr>
        <w:t xml:space="preserve">4.3投标文件的确认</w:t>
      </w:r>
      <w:r/>
    </w:p>
    <w:p>
      <w:pPr>
        <w:ind w:firstLine="560"/>
        <w:spacing w:line="490" w:lineRule="exact"/>
        <w:rPr>
          <w:rFonts w:ascii="宋体" w:hAnsi="宋体" w:cs="宋体"/>
          <w:sz w:val="28"/>
          <w:szCs w:val="28"/>
        </w:rPr>
      </w:pPr>
      <w:r>
        <w:rPr>
          <w:rFonts w:hint="eastAsia" w:ascii="宋体" w:hAnsi="宋体" w:cs="宋体"/>
          <w:sz w:val="28"/>
          <w:szCs w:val="28"/>
        </w:rPr>
        <w:t xml:space="preserve">供应商可以通过江苏省政府采购管理交易系统（苏采云）多次上传投标文件，以招标文件规定的投标截止时间前，江苏省政府采购管理交易系统（苏采云）接受到的最后一份投标文件为准。</w:t>
      </w:r>
      <w:r/>
    </w:p>
    <w:p>
      <w:pPr>
        <w:spacing w:line="490" w:lineRule="exact"/>
        <w:rPr>
          <w:rFonts w:ascii="黑体" w:hAnsi="黑体" w:eastAsia="黑体"/>
          <w:sz w:val="32"/>
          <w:szCs w:val="32"/>
        </w:rPr>
      </w:pPr>
      <w:r>
        <w:rPr>
          <w:rFonts w:ascii="黑体" w:hAnsi="黑体" w:eastAsia="黑体"/>
          <w:sz w:val="32"/>
          <w:szCs w:val="32"/>
        </w:rPr>
        <w:t xml:space="preserve">5. </w:t>
      </w:r>
      <w:r>
        <w:rPr>
          <w:rFonts w:hint="eastAsia" w:ascii="黑体" w:hAnsi="黑体" w:eastAsia="黑体"/>
          <w:sz w:val="32"/>
          <w:szCs w:val="32"/>
        </w:rPr>
        <w:t xml:space="preserve">开标</w:t>
      </w:r>
      <w:r/>
    </w:p>
    <w:p>
      <w:pPr>
        <w:spacing w:line="490" w:lineRule="exact"/>
        <w:rPr>
          <w:rFonts w:ascii="楷体" w:hAnsi="楷体" w:eastAsia="楷体"/>
          <w:b/>
          <w:sz w:val="28"/>
          <w:szCs w:val="28"/>
        </w:rPr>
      </w:pPr>
      <w:r>
        <w:rPr>
          <w:rFonts w:ascii="楷体" w:hAnsi="楷体" w:eastAsia="楷体"/>
          <w:b/>
          <w:sz w:val="28"/>
          <w:szCs w:val="28"/>
        </w:rPr>
        <w:t xml:space="preserve">5.1 </w:t>
      </w:r>
      <w:r>
        <w:rPr>
          <w:rFonts w:hint="eastAsia" w:ascii="楷体" w:hAnsi="楷体" w:eastAsia="楷体" w:cs="宋体"/>
          <w:b/>
          <w:sz w:val="28"/>
          <w:szCs w:val="28"/>
        </w:rPr>
        <w:t xml:space="preserve">开标时间和地点</w:t>
      </w:r>
      <w:r/>
    </w:p>
    <w:p>
      <w:pPr>
        <w:ind w:firstLine="560"/>
        <w:spacing w:line="490" w:lineRule="exact"/>
        <w:rPr>
          <w:rFonts w:ascii="宋体"/>
          <w:sz w:val="28"/>
          <w:szCs w:val="28"/>
        </w:rPr>
      </w:pPr>
      <w:r>
        <w:rPr>
          <w:rFonts w:ascii="宋体" w:hAnsi="宋体"/>
          <w:sz w:val="28"/>
          <w:szCs w:val="28"/>
        </w:rPr>
        <w:t xml:space="preserve">5.1.1</w:t>
      </w:r>
      <w:r>
        <w:rPr>
          <w:rFonts w:hint="eastAsia" w:ascii="宋体" w:hAnsi="宋体" w:cs="宋体"/>
          <w:sz w:val="28"/>
          <w:szCs w:val="28"/>
        </w:rPr>
        <w:t xml:space="preserve">开标时间和地点：见供应商须知前附表。</w:t>
      </w:r>
      <w:r/>
    </w:p>
    <w:p>
      <w:pPr>
        <w:ind w:firstLine="560"/>
        <w:spacing w:line="490" w:lineRule="exact"/>
        <w:rPr>
          <w:rFonts w:ascii="宋体" w:hAnsi="宋体" w:cs="宋体"/>
          <w:sz w:val="28"/>
          <w:szCs w:val="28"/>
        </w:rPr>
      </w:pPr>
      <w:r>
        <w:rPr>
          <w:rFonts w:ascii="宋体" w:hAnsi="宋体" w:cs="宋体"/>
          <w:sz w:val="28"/>
          <w:szCs w:val="28"/>
        </w:rPr>
        <w:t xml:space="preserve">5.1.2</w:t>
      </w:r>
      <w:r>
        <w:rPr>
          <w:rFonts w:hint="eastAsia" w:ascii="宋体" w:hAnsi="宋体" w:cs="宋体"/>
          <w:sz w:val="28"/>
          <w:szCs w:val="28"/>
        </w:rPr>
        <w:t xml:space="preserve">开标活动在江苏政府采购“苏采云”系统“开标大厅”内公开进行，供应商应当按照《江苏省政府采购管理交易系统（苏采云）供应商操作手册》规定，参加开标活动。</w:t>
      </w:r>
      <w:r/>
    </w:p>
    <w:p>
      <w:pPr>
        <w:spacing w:line="490" w:lineRule="exact"/>
        <w:rPr>
          <w:rFonts w:ascii="楷体" w:hAnsi="楷体" w:eastAsia="楷体"/>
          <w:b/>
          <w:sz w:val="28"/>
          <w:szCs w:val="28"/>
        </w:rPr>
      </w:pPr>
      <w:r>
        <w:rPr>
          <w:rFonts w:ascii="楷体" w:hAnsi="楷体" w:eastAsia="楷体"/>
          <w:b/>
          <w:sz w:val="28"/>
          <w:szCs w:val="28"/>
        </w:rPr>
        <w:t xml:space="preserve">5.2 不见面</w:t>
      </w:r>
      <w:r>
        <w:rPr>
          <w:rFonts w:hint="eastAsia" w:ascii="楷体" w:hAnsi="楷体" w:eastAsia="楷体" w:cs="宋体"/>
          <w:b/>
          <w:sz w:val="28"/>
          <w:szCs w:val="28"/>
        </w:rPr>
        <w:t xml:space="preserve">开标程序</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（1）系统登录。供应商应在投标截止时间前登录开标大厅。</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（2）供应商解密投标文件。按照系统内提示，在规定的时间内完成投标文件的解密。</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（3）唱标。</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（4）开标记录确认。</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（5）开标结束。</w:t>
      </w:r>
      <w:r/>
    </w:p>
    <w:p>
      <w:pPr>
        <w:spacing w:line="490" w:lineRule="exact"/>
        <w:rPr>
          <w:rFonts w:ascii="楷体" w:hAnsi="楷体" w:eastAsia="楷体"/>
          <w:b/>
          <w:sz w:val="28"/>
          <w:szCs w:val="28"/>
        </w:rPr>
      </w:pPr>
      <w:r>
        <w:rPr>
          <w:rFonts w:hint="eastAsia" w:ascii="楷体" w:hAnsi="楷体" w:eastAsia="楷体"/>
          <w:b/>
          <w:sz w:val="28"/>
          <w:szCs w:val="28"/>
        </w:rPr>
        <w:t xml:space="preserve">5.3特殊情况的处置</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5.3.1在投标截止时间后，开标系统出现下列情况之一时，项目未开标的，暂停开标活动；正在开标的，立即暂停开标，待系统恢复正常后再组织开标。</w:t>
      </w:r>
      <w:r/>
    </w:p>
    <w:p>
      <w:pPr>
        <w:ind w:firstLine="560"/>
        <w:spacing w:line="490" w:lineRule="exact"/>
        <w:rPr>
          <w:rFonts w:ascii="Arial" w:hAnsi="Arial" w:eastAsia="Arial" w:cs="宋体"/>
          <w:sz w:val="28"/>
          <w:szCs w:val="28"/>
        </w:rPr>
      </w:pPr>
      <w:r>
        <w:rPr>
          <w:rFonts w:ascii="Arial" w:hAnsi="Arial" w:eastAsia="Arial" w:cs="宋体"/>
          <w:sz w:val="28"/>
          <w:szCs w:val="28"/>
        </w:rPr>
        <w:t xml:space="preserve">（1）系统服务器发生故障，无法访问或无法使用系统； </w:t>
      </w:r>
      <w:r/>
    </w:p>
    <w:p>
      <w:pPr>
        <w:ind w:firstLine="560"/>
        <w:spacing w:line="490" w:lineRule="exact"/>
        <w:rPr>
          <w:rFonts w:ascii="Arial" w:hAnsi="Arial" w:eastAsia="Arial" w:cs="宋体"/>
          <w:sz w:val="28"/>
          <w:szCs w:val="28"/>
        </w:rPr>
      </w:pPr>
      <w:r>
        <w:rPr>
          <w:rFonts w:ascii="Arial" w:hAnsi="Arial" w:eastAsia="Arial" w:cs="宋体"/>
          <w:sz w:val="28"/>
          <w:szCs w:val="28"/>
        </w:rPr>
        <w:t xml:space="preserve">（2）系统的软件或数据库出现错误，不能进行正常操作； </w:t>
      </w:r>
      <w:r/>
    </w:p>
    <w:p>
      <w:pPr>
        <w:ind w:firstLine="560"/>
        <w:spacing w:line="490" w:lineRule="exact"/>
        <w:rPr>
          <w:rFonts w:ascii="Arial" w:hAnsi="Arial" w:eastAsia="Arial" w:cs="宋体"/>
          <w:sz w:val="28"/>
          <w:szCs w:val="28"/>
        </w:rPr>
      </w:pPr>
      <w:r>
        <w:rPr>
          <w:rFonts w:ascii="Arial" w:hAnsi="Arial" w:eastAsia="Arial" w:cs="宋体"/>
          <w:sz w:val="28"/>
          <w:szCs w:val="28"/>
        </w:rPr>
        <w:t xml:space="preserve">（3）系统发现有安全漏洞，有潜在的泄密危险； </w:t>
      </w:r>
      <w:r/>
    </w:p>
    <w:p>
      <w:pPr>
        <w:ind w:firstLine="560"/>
        <w:spacing w:line="490" w:lineRule="exact"/>
        <w:rPr>
          <w:rFonts w:ascii="Arial" w:hAnsi="Arial" w:eastAsia="Arial" w:cs="宋体"/>
          <w:sz w:val="28"/>
          <w:szCs w:val="28"/>
        </w:rPr>
      </w:pPr>
      <w:r>
        <w:rPr>
          <w:rFonts w:ascii="Arial" w:hAnsi="Arial" w:eastAsia="Arial" w:cs="宋体"/>
          <w:sz w:val="28"/>
          <w:szCs w:val="28"/>
        </w:rPr>
        <w:t xml:space="preserve">（4）其他无法保证招投标过程公平和信息安全的情形。</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5.3.2因供应商自身原因造成投标文件无法解密的，视为撤销投标文件。</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5.3.3供应商对开标过程和开标记录有疑义的，可向招标人或者采购代理机构提出。</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5.3.4供应商未在开标系统中确认开标结果的，视同认可开标结果。</w:t>
      </w:r>
      <w:r/>
    </w:p>
    <w:p>
      <w:pPr>
        <w:spacing w:line="490" w:lineRule="exact"/>
        <w:rPr>
          <w:rFonts w:ascii="黑体" w:hAnsi="黑体" w:eastAsia="黑体"/>
          <w:sz w:val="32"/>
          <w:szCs w:val="32"/>
        </w:rPr>
      </w:pPr>
      <w:r>
        <w:rPr>
          <w:rFonts w:ascii="黑体" w:hAnsi="黑体" w:eastAsia="黑体"/>
          <w:sz w:val="32"/>
          <w:szCs w:val="32"/>
        </w:rPr>
        <w:t xml:space="preserve">6. </w:t>
      </w:r>
      <w:r>
        <w:rPr>
          <w:rFonts w:hint="eastAsia" w:ascii="黑体" w:hAnsi="黑体" w:eastAsia="黑体"/>
          <w:sz w:val="32"/>
          <w:szCs w:val="32"/>
        </w:rPr>
        <w:t xml:space="preserve">评标</w:t>
      </w:r>
      <w:r/>
    </w:p>
    <w:p>
      <w:pPr>
        <w:spacing w:line="490" w:lineRule="exact"/>
        <w:rPr>
          <w:rFonts w:ascii="楷体" w:hAnsi="楷体" w:eastAsia="楷体"/>
          <w:b/>
          <w:sz w:val="28"/>
          <w:szCs w:val="28"/>
        </w:rPr>
      </w:pPr>
      <w:r>
        <w:rPr>
          <w:rFonts w:ascii="楷体" w:hAnsi="楷体" w:eastAsia="楷体"/>
          <w:b/>
          <w:sz w:val="28"/>
          <w:szCs w:val="28"/>
        </w:rPr>
        <w:t xml:space="preserve">6.1 </w:t>
      </w:r>
      <w:r>
        <w:rPr>
          <w:rFonts w:hint="eastAsia" w:ascii="楷体" w:hAnsi="楷体" w:eastAsia="楷体" w:cs="宋体"/>
          <w:b/>
          <w:sz w:val="28"/>
          <w:szCs w:val="28"/>
        </w:rPr>
        <w:t xml:space="preserve">评标委员会</w:t>
      </w:r>
      <w:r/>
    </w:p>
    <w:p>
      <w:pPr>
        <w:ind w:firstLine="560"/>
        <w:spacing w:line="490" w:lineRule="exact"/>
        <w:rPr>
          <w:rFonts w:ascii="宋体"/>
          <w:sz w:val="28"/>
          <w:szCs w:val="28"/>
        </w:rPr>
      </w:pPr>
      <w:r>
        <w:rPr>
          <w:rFonts w:ascii="宋体" w:hAnsi="宋体"/>
          <w:sz w:val="28"/>
          <w:szCs w:val="28"/>
        </w:rPr>
        <w:t xml:space="preserve">6.1.1</w:t>
      </w:r>
      <w:r>
        <w:rPr>
          <w:rFonts w:hint="eastAsia" w:ascii="宋体" w:hAnsi="宋体" w:cs="宋体"/>
          <w:sz w:val="28"/>
          <w:szCs w:val="28"/>
        </w:rPr>
        <w:t xml:space="preserve">评标由招标人依法组建的评标委员会负责。评标委员会由招标人代表，以及有关技术、经济等方面的专家组成。具体人数见供应商须知前附表。</w:t>
      </w:r>
      <w:r/>
    </w:p>
    <w:p>
      <w:pPr>
        <w:ind w:firstLine="560"/>
        <w:spacing w:line="490" w:lineRule="exact"/>
        <w:rPr>
          <w:rFonts w:ascii="宋体"/>
          <w:sz w:val="28"/>
          <w:szCs w:val="28"/>
        </w:rPr>
      </w:pPr>
      <w:r>
        <w:rPr>
          <w:rFonts w:ascii="宋体" w:hAnsi="宋体"/>
          <w:sz w:val="28"/>
          <w:szCs w:val="28"/>
        </w:rPr>
        <w:t xml:space="preserve">6.1.2</w:t>
      </w:r>
      <w:r>
        <w:rPr>
          <w:rFonts w:hint="eastAsia" w:ascii="宋体" w:hAnsi="宋体" w:cs="宋体"/>
          <w:sz w:val="28"/>
          <w:szCs w:val="28"/>
        </w:rPr>
        <w:t xml:space="preserve">评标委员会成员有下列情形之一的，应当回避：</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w:t>
      </w:r>
      <w:r>
        <w:rPr>
          <w:rFonts w:ascii="宋体" w:hAnsi="宋体" w:cs="宋体"/>
          <w:sz w:val="28"/>
          <w:szCs w:val="28"/>
        </w:rPr>
        <w:t xml:space="preserve">参加采购活动前三年内,与供应商存在劳动关系,或者担任过供应商的董事、监事,或者是供应商的控股股东或实际控制人</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w:t>
      </w:r>
      <w:r>
        <w:rPr>
          <w:rFonts w:ascii="宋体" w:hAnsi="宋体" w:cs="宋体"/>
          <w:sz w:val="28"/>
          <w:szCs w:val="28"/>
        </w:rPr>
        <w:t xml:space="preserve">与供应商的法定代表人或者负责人有夫妻、直系血亲、三代以内旁系血亲或者近姻亲关系</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w:t>
      </w:r>
      <w:r>
        <w:rPr>
          <w:rFonts w:ascii="宋体" w:hAnsi="宋体" w:cs="宋体"/>
          <w:sz w:val="28"/>
          <w:szCs w:val="28"/>
        </w:rPr>
        <w:t xml:space="preserve">与供应商有其他可能影响政府采购活动公平、公正进行的关系</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）法律、行政法规规定的其他条件。</w:t>
      </w:r>
      <w:r/>
    </w:p>
    <w:p>
      <w:pPr>
        <w:spacing w:line="490" w:lineRule="exact"/>
        <w:rPr>
          <w:rFonts w:ascii="楷体" w:hAnsi="楷体" w:eastAsia="楷体"/>
          <w:b/>
          <w:sz w:val="28"/>
          <w:szCs w:val="28"/>
        </w:rPr>
      </w:pPr>
      <w:r>
        <w:rPr>
          <w:rFonts w:ascii="楷体" w:hAnsi="楷体" w:eastAsia="楷体"/>
          <w:b/>
          <w:sz w:val="28"/>
          <w:szCs w:val="28"/>
        </w:rPr>
        <w:t xml:space="preserve">6.2 </w:t>
      </w:r>
      <w:r>
        <w:rPr>
          <w:rFonts w:hint="eastAsia" w:ascii="楷体" w:hAnsi="楷体" w:eastAsia="楷体" w:cs="宋体"/>
          <w:b/>
          <w:sz w:val="28"/>
          <w:szCs w:val="28"/>
        </w:rPr>
        <w:t xml:space="preserve">评标</w:t>
      </w:r>
      <w:r/>
    </w:p>
    <w:p>
      <w:pPr>
        <w:ind w:firstLine="560"/>
        <w:spacing w:line="490" w:lineRule="exact"/>
        <w:rPr>
          <w:rFonts w:ascii="宋体" w:hAnsi="宋体" w:cs="宋体"/>
          <w:sz w:val="28"/>
          <w:szCs w:val="28"/>
        </w:rPr>
      </w:pPr>
      <w:r>
        <w:rPr>
          <w:rFonts w:hint="eastAsia" w:ascii="宋体" w:hAnsi="宋体" w:cs="宋体"/>
          <w:sz w:val="28"/>
        </w:rPr>
        <w:t xml:space="preserve">评标活动遵循公正、客观、审慎的原则。</w:t>
      </w:r>
      <w:r>
        <w:rPr>
          <w:rFonts w:hint="eastAsia" w:ascii="宋体" w:hAnsi="宋体" w:cs="宋体"/>
          <w:sz w:val="28"/>
          <w:szCs w:val="28"/>
        </w:rPr>
        <w:t xml:space="preserve">评标委员会严格按照第三章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规定的评标方法、评标程序和评标标准进行独立评审。第三章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没有规定的评标标准，不得作为评标依据。</w:t>
      </w:r>
      <w:r/>
    </w:p>
    <w:p>
      <w:pPr>
        <w:spacing w:line="490" w:lineRule="exact"/>
        <w:rPr>
          <w:rFonts w:ascii="黑体" w:hAnsi="黑体" w:eastAsia="黑体"/>
          <w:sz w:val="32"/>
          <w:szCs w:val="32"/>
        </w:rPr>
      </w:pPr>
      <w:r>
        <w:rPr>
          <w:rFonts w:ascii="黑体" w:hAnsi="黑体" w:eastAsia="黑体"/>
          <w:sz w:val="32"/>
          <w:szCs w:val="32"/>
        </w:rPr>
        <w:t xml:space="preserve">7.</w:t>
      </w:r>
      <w:r>
        <w:rPr>
          <w:rFonts w:hint="eastAsia" w:ascii="黑体" w:hAnsi="黑体" w:eastAsia="黑体" w:cs="宋体"/>
          <w:sz w:val="32"/>
          <w:szCs w:val="32"/>
        </w:rPr>
        <w:t xml:space="preserve">中标</w:t>
      </w:r>
      <w:r/>
    </w:p>
    <w:p>
      <w:pPr>
        <w:spacing w:line="490" w:lineRule="exact"/>
        <w:rPr>
          <w:rFonts w:ascii="楷体" w:hAnsi="楷体" w:eastAsia="楷体"/>
          <w:b/>
          <w:sz w:val="28"/>
          <w:szCs w:val="28"/>
        </w:rPr>
      </w:pPr>
      <w:r>
        <w:rPr>
          <w:rFonts w:ascii="楷体" w:hAnsi="楷体" w:eastAsia="楷体"/>
          <w:b/>
          <w:sz w:val="28"/>
          <w:szCs w:val="28"/>
        </w:rPr>
        <w:t xml:space="preserve">7.1</w:t>
      </w:r>
      <w:r>
        <w:rPr>
          <w:rFonts w:hint="eastAsia" w:ascii="楷体" w:hAnsi="楷体" w:eastAsia="楷体"/>
          <w:b/>
          <w:sz w:val="28"/>
          <w:szCs w:val="28"/>
        </w:rPr>
        <w:t xml:space="preserve">确定中标人</w:t>
      </w:r>
      <w:r/>
    </w:p>
    <w:p>
      <w:pPr>
        <w:ind w:firstLine="560"/>
        <w:spacing w:line="490" w:lineRule="exact"/>
        <w:rPr>
          <w:rFonts w:ascii="宋体" w:hAnsi="宋体" w:cs="宋体"/>
          <w:sz w:val="28"/>
          <w:szCs w:val="28"/>
        </w:rPr>
      </w:pPr>
      <w:r>
        <w:rPr>
          <w:rFonts w:hint="eastAsia" w:ascii="宋体" w:hAnsi="宋体" w:cs="宋体"/>
          <w:sz w:val="28"/>
          <w:szCs w:val="28"/>
        </w:rPr>
        <w:t xml:space="preserve">7.1.1自收到评标报告之日起５个工作日内，在评标报告确定的中标候选人名单中按顺序确定中标人。</w:t>
      </w:r>
      <w:r/>
    </w:p>
    <w:p>
      <w:pPr>
        <w:ind w:firstLine="560"/>
        <w:spacing w:line="490" w:lineRule="exact"/>
        <w:rPr>
          <w:rFonts w:ascii="宋体"/>
          <w:sz w:val="28"/>
          <w:szCs w:val="28"/>
        </w:rPr>
      </w:pPr>
      <w:r>
        <w:rPr>
          <w:rFonts w:hint="eastAsia" w:ascii="宋体" w:hAnsi="宋体" w:cs="宋体"/>
          <w:sz w:val="28"/>
          <w:szCs w:val="28"/>
        </w:rPr>
        <w:t xml:space="preserve">7.1.2排名第一的中标候选人出现下列情形之一的，除合格供应商的数量不符合法定的要求外，招标人将按照评标委员会提出的中标候选人名单排序依次确定其他中标候选人为中标人。</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）因不可抗力或者自身原因不能履行合同的；</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）经过财政部门处理投诉举报、监督检查，认定中标无效的；</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）拒绝与招标人签订合同的。</w:t>
      </w:r>
      <w:r/>
    </w:p>
    <w:p>
      <w:pPr>
        <w:spacing w:line="490" w:lineRule="exact"/>
        <w:rPr>
          <w:rFonts w:ascii="楷体" w:hAnsi="楷体" w:eastAsia="楷体"/>
          <w:b/>
          <w:sz w:val="28"/>
          <w:szCs w:val="28"/>
        </w:rPr>
      </w:pPr>
      <w:r>
        <w:rPr>
          <w:rFonts w:ascii="楷体" w:hAnsi="楷体" w:eastAsia="楷体"/>
          <w:b/>
          <w:sz w:val="28"/>
          <w:szCs w:val="28"/>
        </w:rPr>
        <w:t xml:space="preserve">7.2</w:t>
      </w:r>
      <w:r>
        <w:rPr>
          <w:rFonts w:hint="eastAsia" w:ascii="楷体" w:hAnsi="楷体" w:eastAsia="楷体"/>
          <w:b/>
          <w:sz w:val="28"/>
          <w:szCs w:val="28"/>
        </w:rPr>
        <w:t xml:space="preserve">中标公告及中标通知书</w:t>
      </w:r>
      <w:r/>
    </w:p>
    <w:p>
      <w:pPr>
        <w:ind w:firstLine="560"/>
        <w:spacing w:line="490" w:lineRule="exact"/>
        <w:rPr>
          <w:rFonts w:ascii="宋体" w:hAnsi="宋体" w:cs="宋体"/>
          <w:sz w:val="28"/>
          <w:szCs w:val="28"/>
        </w:rPr>
      </w:pPr>
      <w:r>
        <w:rPr>
          <w:rFonts w:hint="eastAsia" w:ascii="宋体" w:hAnsi="宋体" w:cs="宋体"/>
          <w:sz w:val="28"/>
          <w:szCs w:val="28"/>
        </w:rPr>
        <w:t xml:space="preserve">7.2.1自中标人确定之日起2个工作日内，在供应商须知前附表规定的媒介上公告中标结果，公告期限为1个工作日。</w:t>
      </w:r>
      <w:r/>
    </w:p>
    <w:p>
      <w:pPr>
        <w:ind w:firstLine="560"/>
        <w:spacing w:line="490" w:lineRule="exact"/>
        <w:rPr>
          <w:rFonts w:ascii="宋体" w:hAnsi="宋体"/>
          <w:sz w:val="28"/>
          <w:szCs w:val="28"/>
        </w:rPr>
      </w:pPr>
      <w:r>
        <w:rPr>
          <w:rFonts w:hint="eastAsia" w:ascii="宋体" w:hAnsi="宋体" w:cs="宋体"/>
          <w:sz w:val="28"/>
          <w:szCs w:val="28"/>
        </w:rPr>
        <w:t xml:space="preserve">7.2.2在公告中标结果的同时，向中标人发出中标通知书。中标通知书对招标人和中标人具有同等法律效力。</w:t>
      </w:r>
      <w:r>
        <w:rPr>
          <w:rFonts w:ascii="宋体" w:hAnsi="宋体"/>
          <w:sz w:val="28"/>
          <w:szCs w:val="28"/>
        </w:rPr>
        <w:t xml:space="preserve">  </w:t>
      </w:r>
      <w:r/>
    </w:p>
    <w:p>
      <w:pPr>
        <w:spacing w:line="490" w:lineRule="exact"/>
        <w:rPr>
          <w:rFonts w:ascii="黑体" w:hAnsi="黑体" w:eastAsia="黑体"/>
          <w:sz w:val="32"/>
          <w:szCs w:val="32"/>
        </w:rPr>
      </w:pPr>
      <w:r>
        <w:rPr>
          <w:rFonts w:ascii="黑体" w:hAnsi="黑体" w:eastAsia="黑体"/>
          <w:sz w:val="32"/>
          <w:szCs w:val="32"/>
        </w:rPr>
        <w:t xml:space="preserve">8.</w:t>
      </w:r>
      <w:r>
        <w:rPr>
          <w:rFonts w:hint="eastAsia" w:ascii="黑体" w:hAnsi="黑体" w:eastAsia="黑体" w:cs="宋体"/>
          <w:sz w:val="32"/>
          <w:szCs w:val="32"/>
        </w:rPr>
        <w:t xml:space="preserve">合同</w:t>
      </w:r>
      <w:r/>
    </w:p>
    <w:p>
      <w:pPr>
        <w:spacing w:line="490" w:lineRule="exact"/>
        <w:rPr>
          <w:rFonts w:ascii="楷体" w:hAnsi="楷体" w:eastAsia="楷体" w:cs="宋体"/>
          <w:b/>
          <w:sz w:val="28"/>
          <w:szCs w:val="28"/>
        </w:rPr>
      </w:pPr>
      <w:r>
        <w:rPr>
          <w:rFonts w:ascii="楷体" w:hAnsi="楷体" w:eastAsia="楷体"/>
          <w:b/>
          <w:sz w:val="28"/>
          <w:szCs w:val="28"/>
        </w:rPr>
        <w:t xml:space="preserve">8.1 </w:t>
      </w:r>
      <w:r>
        <w:rPr>
          <w:rFonts w:hint="eastAsia" w:ascii="楷体" w:hAnsi="楷体" w:eastAsia="楷体" w:cs="宋体"/>
          <w:b/>
          <w:sz w:val="28"/>
          <w:szCs w:val="28"/>
        </w:rPr>
        <w:t xml:space="preserve">履约保证金</w:t>
      </w:r>
      <w:r/>
    </w:p>
    <w:p>
      <w:pPr>
        <w:ind w:firstLine="560"/>
        <w:spacing w:line="490" w:lineRule="exact"/>
        <w:rPr>
          <w:rFonts w:ascii="宋体"/>
          <w:sz w:val="28"/>
          <w:szCs w:val="28"/>
        </w:rPr>
      </w:pPr>
      <w:r>
        <w:rPr>
          <w:rFonts w:ascii="宋体" w:hAnsi="宋体"/>
          <w:sz w:val="28"/>
          <w:szCs w:val="28"/>
        </w:rPr>
        <w:t xml:space="preserve">8.1.1</w:t>
      </w:r>
      <w:r>
        <w:rPr>
          <w:rFonts w:hint="eastAsia" w:ascii="宋体" w:hAnsi="宋体" w:cs="宋体"/>
          <w:sz w:val="28"/>
          <w:szCs w:val="28"/>
        </w:rPr>
        <w:t xml:space="preserve">中标人应按供应商须知前附表规定的履约保证金的形式、金额和提交时间向招标人提交履约保证金。</w:t>
      </w:r>
      <w:r/>
    </w:p>
    <w:p>
      <w:pPr>
        <w:ind w:firstLine="560"/>
        <w:spacing w:line="490" w:lineRule="exact"/>
        <w:rPr>
          <w:rFonts w:ascii="楷体" w:hAnsi="楷体" w:eastAsia="楷体"/>
          <w:b/>
          <w:sz w:val="28"/>
          <w:szCs w:val="28"/>
        </w:rPr>
      </w:pPr>
      <w:r>
        <w:rPr>
          <w:rFonts w:ascii="宋体" w:hAnsi="宋体"/>
          <w:sz w:val="28"/>
          <w:szCs w:val="28"/>
        </w:rPr>
        <w:t xml:space="preserve">8.1.2</w:t>
      </w:r>
      <w:r>
        <w:rPr>
          <w:rFonts w:hint="eastAsia" w:ascii="宋体" w:hAnsi="宋体" w:cs="宋体"/>
          <w:sz w:val="28"/>
          <w:szCs w:val="28"/>
        </w:rPr>
        <w:t xml:space="preserve">中标人不能按本招标文件要求提交履约保证金的，视为放弃中标，给招标人造成损失的，中标人还应当予以赔偿。</w:t>
      </w:r>
      <w:r/>
    </w:p>
    <w:p>
      <w:pPr>
        <w:spacing w:line="490" w:lineRule="exact"/>
        <w:rPr>
          <w:rFonts w:ascii="楷体" w:hAnsi="楷体" w:eastAsia="楷体"/>
          <w:b/>
          <w:sz w:val="28"/>
          <w:szCs w:val="28"/>
        </w:rPr>
      </w:pPr>
      <w:r>
        <w:rPr>
          <w:rFonts w:ascii="楷体" w:hAnsi="楷体" w:eastAsia="楷体"/>
          <w:b/>
          <w:sz w:val="28"/>
          <w:szCs w:val="28"/>
        </w:rPr>
        <w:t xml:space="preserve">8.2</w:t>
      </w:r>
      <w:r>
        <w:rPr>
          <w:rFonts w:hint="eastAsia" w:ascii="楷体" w:hAnsi="楷体" w:eastAsia="楷体" w:cs="宋体"/>
          <w:b/>
          <w:sz w:val="28"/>
          <w:szCs w:val="28"/>
        </w:rPr>
        <w:t xml:space="preserve">签订合同</w:t>
      </w:r>
      <w:r/>
    </w:p>
    <w:p>
      <w:pPr>
        <w:ind w:firstLine="560"/>
        <w:spacing w:line="490" w:lineRule="exact"/>
        <w:rPr>
          <w:rFonts w:ascii="宋体"/>
          <w:sz w:val="28"/>
          <w:szCs w:val="28"/>
        </w:rPr>
      </w:pPr>
      <w:r>
        <w:rPr>
          <w:rFonts w:hint="eastAsia" w:ascii="宋体" w:hAnsi="宋体" w:cs="宋体"/>
          <w:sz w:val="28"/>
          <w:szCs w:val="28"/>
        </w:rPr>
        <w:t xml:space="preserve">招标人和中标人在供应商须知前附表规定的时间内，根据招标文件和中标人的投标文件订立书面合同。中标人无正当理由拒签合同的，招标人取消其中标资格；给招标人造成损失的，中标人还应当对予以赔偿。</w:t>
      </w:r>
      <w:r/>
    </w:p>
    <w:p>
      <w:pPr>
        <w:spacing w:line="490" w:lineRule="exact"/>
        <w:rPr>
          <w:rFonts w:ascii="黑体" w:hAnsi="黑体" w:eastAsia="黑体" w:cs="宋体"/>
          <w:sz w:val="32"/>
          <w:szCs w:val="32"/>
        </w:rPr>
      </w:pPr>
      <w:r>
        <w:rPr>
          <w:rFonts w:hint="eastAsia" w:ascii="黑体" w:hAnsi="黑体" w:eastAsia="黑体"/>
          <w:sz w:val="32"/>
          <w:szCs w:val="32"/>
        </w:rPr>
        <w:t xml:space="preserve">9</w:t>
      </w:r>
      <w:r>
        <w:rPr>
          <w:rFonts w:ascii="黑体" w:hAnsi="黑体" w:eastAsia="黑体"/>
          <w:sz w:val="32"/>
          <w:szCs w:val="32"/>
        </w:rPr>
        <w:t xml:space="preserve">. </w:t>
      </w:r>
      <w:r>
        <w:rPr>
          <w:rFonts w:hint="eastAsia" w:ascii="黑体" w:hAnsi="黑体" w:eastAsia="黑体" w:cs="宋体"/>
          <w:sz w:val="32"/>
          <w:szCs w:val="32"/>
        </w:rPr>
        <w:t xml:space="preserve">需要补充的其他内容</w:t>
      </w:r>
      <w:r/>
    </w:p>
    <w:p>
      <w:pPr>
        <w:ind w:firstLine="560"/>
        <w:spacing w:line="490" w:lineRule="exact"/>
        <w:rPr>
          <w:rFonts w:ascii="楷体" w:hAnsi="楷体" w:eastAsia="楷体"/>
          <w:b/>
          <w:sz w:val="28"/>
          <w:szCs w:val="28"/>
        </w:rPr>
      </w:pPr>
      <w:r>
        <w:rPr>
          <w:rFonts w:hint="eastAsia" w:ascii="宋体" w:hAnsi="宋体" w:cs="宋体"/>
          <w:sz w:val="28"/>
        </w:rPr>
        <w:t xml:space="preserve">需要补充的其他内容：见供应商须知前附表。</w:t>
      </w:r>
      <w:bookmarkEnd w:id="40"/>
      <w:r/>
      <w:bookmarkEnd w:id="41"/>
      <w:r/>
      <w:bookmarkEnd w:id="42"/>
      <w:r/>
      <w:bookmarkEnd w:id="43"/>
      <w:r/>
      <w:bookmarkEnd w:id="44"/>
      <w:r/>
      <w:bookmarkEnd w:id="45"/>
      <w:r/>
      <w:bookmarkEnd w:id="46"/>
      <w:r/>
      <w:bookmarkEnd w:id="47"/>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Start w:id="213" w:name="_Hlt26955056"/>
      <w:r/>
      <w:bookmarkEnd w:id="213"/>
      <w:r/>
      <w:bookmarkStart w:id="214" w:name="_Hlt26671343"/>
      <w:r/>
      <w:bookmarkEnd w:id="214"/>
      <w:r/>
      <w:bookmarkStart w:id="215" w:name="_Hlt26580838"/>
      <w:r/>
      <w:bookmarkEnd w:id="215"/>
      <w:r/>
      <w:bookmarkStart w:id="216" w:name="_Hlt26671372"/>
      <w:r/>
      <w:bookmarkEnd w:id="216"/>
      <w:r/>
      <w:bookmarkStart w:id="217" w:name="_Hlt26955064"/>
      <w:r/>
      <w:bookmarkEnd w:id="217"/>
      <w:r/>
      <w:bookmarkStart w:id="218" w:name="_Hlt24879081"/>
      <w:r/>
      <w:bookmarkEnd w:id="218"/>
      <w:r/>
      <w:bookmarkStart w:id="219" w:name="_Hlt26609391"/>
      <w:r/>
      <w:bookmarkEnd w:id="219"/>
      <w:r/>
      <w:bookmarkStart w:id="220" w:name="_Hlt26782999"/>
      <w:r/>
      <w:bookmarkEnd w:id="220"/>
      <w:r/>
      <w:r/>
    </w:p>
    <w:p>
      <w:pPr>
        <w:pStyle w:val="650"/>
        <w:spacing w:line="490" w:lineRule="exact"/>
      </w:pPr>
      <w:r/>
      <w:r/>
    </w:p>
    <w:p>
      <w:pPr>
        <w:pStyle w:val="650"/>
      </w:pPr>
      <w:r/>
      <w:r/>
    </w:p>
    <w:p>
      <w:pPr>
        <w:pStyle w:val="650"/>
      </w:pPr>
      <w:r/>
      <w:r/>
    </w:p>
    <w:p>
      <w:pPr>
        <w:pStyle w:val="650"/>
      </w:pPr>
      <w:r/>
      <w:r/>
    </w:p>
    <w:p>
      <w:pPr>
        <w:pStyle w:val="650"/>
      </w:pPr>
      <w:r/>
      <w:r/>
    </w:p>
    <w:p>
      <w:pPr>
        <w:jc w:val="left"/>
        <w:widowControl/>
      </w:pPr>
      <w:r>
        <w:br w:type="page" w:clear="all"/>
      </w:r>
      <w:r/>
    </w:p>
    <w:p>
      <w:pPr>
        <w:pStyle w:val="709"/>
        <w:ind w:left="-2" w:firstLine="643"/>
        <w:jc w:val="center"/>
        <w:spacing w:line="360" w:lineRule="exact"/>
        <w:rPr>
          <w:rFonts w:ascii="黑体" w:hAnsi="黑体" w:eastAsia="黑体"/>
          <w:b/>
          <w:sz w:val="32"/>
          <w:szCs w:val="32"/>
          <w:highlight w:val="none"/>
        </w:rPr>
        <w:outlineLvl w:val="0"/>
      </w:pPr>
      <w:r>
        <w:rPr>
          <w:rFonts w:hint="eastAsia" w:ascii="黑体" w:hAnsi="黑体" w:eastAsia="黑体"/>
          <w:b/>
          <w:sz w:val="32"/>
          <w:szCs w:val="32"/>
          <w:highlight w:val="none"/>
        </w:rPr>
        <w:t xml:space="preserve">第三章</w:t>
      </w:r>
      <w:r>
        <w:rPr>
          <w:rFonts w:ascii="黑体" w:hAnsi="黑体" w:eastAsia="黑体"/>
          <w:b/>
          <w:sz w:val="32"/>
          <w:szCs w:val="32"/>
          <w:highlight w:val="none"/>
        </w:rPr>
        <w:t xml:space="preserve"> 资格审查及</w:t>
      </w:r>
      <w:r>
        <w:rPr>
          <w:rFonts w:hint="eastAsia" w:ascii="黑体" w:hAnsi="黑体" w:eastAsia="黑体"/>
          <w:b/>
          <w:sz w:val="32"/>
          <w:szCs w:val="32"/>
          <w:highlight w:val="none"/>
        </w:rPr>
        <w:t xml:space="preserve">评标办法</w:t>
      </w:r>
      <w:r/>
    </w:p>
    <w:p>
      <w:pPr>
        <w:keepLines w:val="0"/>
        <w:keepNext w:val="0"/>
        <w:pageBreakBefore w:val="0"/>
        <w:spacing w:line="240" w:lineRule="auto"/>
        <w:widowControl w:val="off"/>
        <w:rPr>
          <w:rFonts w:hint="eastAsia" w:ascii="宋体" w:hAnsi="宋体" w:eastAsia="宋体" w:cs="宋体"/>
          <w:sz w:val="21"/>
          <w:szCs w:val="21"/>
          <w:lang w:val="zh-CN"/>
        </w:rPr>
      </w:pPr>
      <w:r/>
      <w:bookmarkStart w:id="221" w:name="_Toc152042365"/>
      <w:r/>
      <w:bookmarkStart w:id="222" w:name="_Toc152045588"/>
      <w:r/>
      <w:bookmarkStart w:id="223" w:name="_Toc247085746"/>
      <w:r/>
      <w:bookmarkStart w:id="224" w:name="_Toc246996974"/>
      <w:r/>
      <w:bookmarkStart w:id="225" w:name="_Toc343525563"/>
      <w:r/>
      <w:bookmarkStart w:id="226" w:name="_Toc179632606"/>
      <w:r/>
      <w:bookmarkStart w:id="227" w:name="_Toc246996231"/>
      <w:r/>
      <w:bookmarkStart w:id="228" w:name="_Toc383438647"/>
      <w:r/>
      <w:bookmarkStart w:id="229" w:name="_Toc426469920"/>
      <w:r/>
      <w:bookmarkStart w:id="230" w:name="_Toc144974555"/>
      <w:r>
        <w:rPr>
          <w:rFonts w:hint="eastAsia" w:ascii="宋体" w:hAnsi="宋体" w:eastAsia="宋体" w:cs="宋体"/>
          <w:sz w:val="21"/>
          <w:szCs w:val="21"/>
          <w:lang w:val="zh-CN"/>
        </w:rPr>
        <w:t xml:space="preserve">资格审查和评标办法前附表</w:t>
      </w:r>
      <w:bookmarkEnd w:id="221"/>
      <w:r/>
      <w:bookmarkEnd w:id="222"/>
      <w:r/>
      <w:bookmarkEnd w:id="223"/>
      <w:r/>
      <w:bookmarkEnd w:id="224"/>
      <w:r/>
      <w:bookmarkEnd w:id="225"/>
      <w:r/>
      <w:bookmarkEnd w:id="226"/>
      <w:r/>
      <w:bookmarkEnd w:id="227"/>
      <w:r/>
      <w:bookmarkEnd w:id="228"/>
      <w:r/>
      <w:bookmarkEnd w:id="229"/>
      <w:r/>
      <w:bookmarkEnd w:id="230"/>
      <w:r/>
      <w:bookmarkStart w:id="231" w:name="_Toc152042366"/>
      <w:r/>
      <w:bookmarkStart w:id="232" w:name="_Toc144974556"/>
      <w:r/>
      <w:bookmarkStart w:id="233" w:name="_Toc246996232"/>
      <w:r/>
      <w:bookmarkStart w:id="234" w:name="_Toc343525564"/>
      <w:r/>
      <w:bookmarkStart w:id="235" w:name="_Toc179632607"/>
      <w:r/>
      <w:bookmarkStart w:id="236" w:name="_Toc152045589"/>
      <w:r/>
      <w:bookmarkStart w:id="237" w:name="_Toc247085747"/>
      <w:r/>
      <w:bookmarkStart w:id="238" w:name="_Toc246996975"/>
      <w:r/>
      <w:r/>
    </w:p>
    <w:tbl>
      <w:tblPr>
        <w:tblStyle w:val="645"/>
        <w:tblW w:w="9198"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385"/>
        <w:gridCol w:w="349"/>
        <w:gridCol w:w="2733"/>
        <w:gridCol w:w="5097"/>
        <w:gridCol w:w="634"/>
      </w:tblGrid>
      <w:tr>
        <w:trPr>
          <w:jc w:val="center"/>
          <w:trHeight w:val="361"/>
        </w:trPr>
        <w:tc>
          <w:tcPr>
            <w:gridSpan w:val="2"/>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spacing w:line="400" w:lineRule="exact"/>
              <w:rPr>
                <w:rFonts w:ascii="Arial" w:hAnsi="Arial" w:eastAsia="Arial"/>
              </w:rPr>
            </w:pPr>
            <w:r>
              <w:rPr>
                <w:rFonts w:hint="eastAsia" w:ascii="Arial" w:hAnsi="Arial" w:eastAsia="Arial"/>
              </w:rPr>
              <w:t xml:space="preserve">条款号</w:t>
            </w:r>
            <w:r/>
          </w:p>
        </w:tc>
        <w:tc>
          <w:tcPr>
            <w:tcBorders>
              <w:top w:val="single" w:color="auto" w:sz="6" w:space="0"/>
              <w:left w:val="single" w:color="auto" w:sz="6" w:space="0"/>
              <w:bottom w:val="single" w:color="auto" w:sz="6" w:space="0"/>
              <w:right w:val="single" w:color="auto" w:sz="6" w:space="0"/>
            </w:tcBorders>
            <w:tcW w:w="2733" w:type="dxa"/>
            <w:vAlign w:val="center"/>
            <w:textDirection w:val="lrTb"/>
            <w:noWrap w:val="false"/>
          </w:tcPr>
          <w:p>
            <w:pPr>
              <w:jc w:val="center"/>
              <w:spacing w:line="400" w:lineRule="exact"/>
              <w:rPr>
                <w:rFonts w:ascii="Arial" w:hAnsi="Arial" w:eastAsia="Arial"/>
              </w:rPr>
            </w:pPr>
            <w:r>
              <w:rPr>
                <w:rFonts w:hint="eastAsia" w:ascii="Arial" w:hAnsi="Arial" w:eastAsia="Arial"/>
              </w:rPr>
              <w:t xml:space="preserve">评审因素</w:t>
            </w:r>
            <w:r/>
          </w:p>
        </w:tc>
        <w:tc>
          <w:tcPr>
            <w:gridSpan w:val="2"/>
            <w:tcBorders>
              <w:top w:val="single" w:color="auto" w:sz="6" w:space="0"/>
              <w:left w:val="single" w:color="auto" w:sz="6" w:space="0"/>
              <w:bottom w:val="single" w:color="auto" w:sz="6" w:space="0"/>
              <w:right w:val="single" w:color="auto" w:sz="6" w:space="0"/>
            </w:tcBorders>
            <w:tcW w:w="5731" w:type="dxa"/>
            <w:vAlign w:val="center"/>
            <w:textDirection w:val="lrTb"/>
            <w:noWrap w:val="false"/>
          </w:tcPr>
          <w:p>
            <w:pPr>
              <w:jc w:val="center"/>
              <w:spacing w:line="400" w:lineRule="exact"/>
              <w:rPr>
                <w:rFonts w:ascii="Arial" w:hAnsi="Arial" w:eastAsia="Arial"/>
              </w:rPr>
            </w:pPr>
            <w:r>
              <w:rPr>
                <w:rFonts w:hint="eastAsia" w:ascii="Arial" w:hAnsi="Arial" w:eastAsia="Arial"/>
              </w:rPr>
              <w:t xml:space="preserve">评审标准</w:t>
            </w:r>
            <w:r/>
          </w:p>
        </w:tc>
      </w:tr>
      <w:tr>
        <w:trPr>
          <w:jc w:val="center"/>
          <w:trHeight w:val="627"/>
        </w:trPr>
        <w:tc>
          <w:tcPr>
            <w:tcBorders>
              <w:top w:val="single" w:color="auto" w:sz="6" w:space="0"/>
              <w:left w:val="single" w:color="auto" w:sz="6" w:space="0"/>
              <w:right w:val="single" w:color="auto" w:sz="6" w:space="0"/>
            </w:tcBorders>
            <w:tcW w:w="385" w:type="dxa"/>
            <w:vAlign w:val="center"/>
            <w:vMerge w:val="restart"/>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1.2</w:t>
            </w:r>
            <w:r/>
          </w:p>
        </w:tc>
        <w:tc>
          <w:tcPr>
            <w:tcBorders>
              <w:top w:val="single" w:color="auto" w:sz="6" w:space="0"/>
              <w:left w:val="single" w:color="auto" w:sz="6" w:space="0"/>
              <w:right w:val="single" w:color="auto" w:sz="6" w:space="0"/>
            </w:tcBorders>
            <w:tcW w:w="349"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资格审查</w:t>
            </w:r>
            <w:r/>
          </w:p>
        </w:tc>
        <w:tc>
          <w:tcPr>
            <w:tcBorders>
              <w:top w:val="single" w:color="auto" w:sz="6" w:space="0"/>
              <w:left w:val="single" w:color="auto" w:sz="6" w:space="0"/>
              <w:bottom w:val="single" w:color="auto" w:sz="6" w:space="0"/>
              <w:right w:val="single" w:color="auto" w:sz="6" w:space="0"/>
            </w:tcBorders>
            <w:tcW w:w="2733"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基本资格条件的承诺</w:t>
            </w:r>
            <w:r/>
          </w:p>
        </w:tc>
        <w:tc>
          <w:tcPr>
            <w:gridSpan w:val="2"/>
            <w:tcBorders>
              <w:top w:val="single" w:color="auto" w:sz="6" w:space="0"/>
              <w:left w:val="single" w:color="auto" w:sz="6" w:space="0"/>
              <w:bottom w:val="single" w:color="auto" w:sz="6" w:space="0"/>
              <w:right w:val="single" w:color="auto" w:sz="6" w:space="0"/>
            </w:tcBorders>
            <w:tcW w:w="5731"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根据供应商提供的承诺函，内容完整且具有法人及法定代表人的印章。（内容及格式参照第六章）</w:t>
            </w:r>
            <w:r/>
          </w:p>
        </w:tc>
      </w:tr>
      <w:tr>
        <w:trPr>
          <w:jc w:val="center"/>
          <w:trHeight w:val="584"/>
        </w:trPr>
        <w:tc>
          <w:tcPr>
            <w:tcBorders>
              <w:left w:val="single" w:color="auto" w:sz="6" w:space="0"/>
              <w:right w:val="single" w:color="auto" w:sz="6" w:space="0"/>
            </w:tcBorders>
            <w:tcW w:w="385"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left w:val="single" w:color="auto" w:sz="6" w:space="0"/>
              <w:right w:val="single" w:color="auto" w:sz="6" w:space="0"/>
            </w:tcBorders>
            <w:tcW w:w="349"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top w:val="single" w:color="auto" w:sz="6" w:space="0"/>
              <w:left w:val="single" w:color="auto" w:sz="6" w:space="0"/>
              <w:bottom w:val="single" w:color="auto" w:sz="6" w:space="0"/>
              <w:right w:val="single" w:color="auto" w:sz="6" w:space="0"/>
            </w:tcBorders>
            <w:tcW w:w="2733"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招标人根据本项目特点，要求投标人具备的条件</w:t>
            </w:r>
            <w:r/>
          </w:p>
        </w:tc>
        <w:tc>
          <w:tcPr>
            <w:gridSpan w:val="2"/>
            <w:tcBorders>
              <w:top w:val="single" w:color="auto" w:sz="6" w:space="0"/>
              <w:left w:val="single" w:color="auto" w:sz="6" w:space="0"/>
              <w:bottom w:val="single" w:color="auto" w:sz="6" w:space="0"/>
              <w:right w:val="single" w:color="auto" w:sz="6" w:space="0"/>
            </w:tcBorders>
            <w:tcW w:w="5731"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供应商具备有效期内城乡规划（国土空间规划）编制乙级及以上资质</w:t>
            </w:r>
            <w:r/>
          </w:p>
        </w:tc>
      </w:tr>
      <w:tr>
        <w:trPr>
          <w:jc w:val="center"/>
          <w:trHeight w:val="336"/>
        </w:trPr>
        <w:tc>
          <w:tcPr>
            <w:gridSpan w:val="5"/>
            <w:tcBorders>
              <w:top w:val="single" w:color="auto" w:sz="6" w:space="0"/>
              <w:left w:val="single" w:color="auto" w:sz="6" w:space="0"/>
              <w:bottom w:val="single" w:color="auto" w:sz="6" w:space="0"/>
              <w:right w:val="single" w:color="auto" w:sz="6" w:space="0"/>
            </w:tcBorders>
            <w:tcW w:w="9198" w:type="dxa"/>
            <w:vAlign w:val="center"/>
            <w:textDirection w:val="lrTb"/>
            <w:noWrap w:val="false"/>
          </w:tcPr>
          <w:p>
            <w:pPr>
              <w:jc w:val="center"/>
              <w:spacing w:line="460" w:lineRule="exact"/>
              <w:rPr>
                <w:rFonts w:hint="eastAsia" w:ascii="宋体" w:hAnsi="宋体" w:eastAsia="宋体" w:cs="宋体"/>
                <w:b/>
                <w:spacing w:val="-14"/>
              </w:rPr>
            </w:pPr>
            <w:r>
              <w:rPr>
                <w:rFonts w:hint="eastAsia" w:ascii="宋体" w:hAnsi="宋体" w:eastAsia="宋体" w:cs="宋体"/>
                <w:b/>
                <w:spacing w:val="-14"/>
              </w:rPr>
              <w:t xml:space="preserve">1.2项评审内容由采购人负责，投标文件不符合1.2项评审标准的，作无效标处理。</w:t>
            </w:r>
            <w:r/>
          </w:p>
        </w:tc>
      </w:tr>
      <w:tr>
        <w:trPr>
          <w:jc w:val="center"/>
          <w:trHeight w:val="332"/>
        </w:trPr>
        <w:tc>
          <w:tcPr>
            <w:tcBorders>
              <w:top w:val="single" w:color="auto" w:sz="6" w:space="0"/>
              <w:left w:val="single" w:color="auto" w:sz="6" w:space="0"/>
              <w:bottom w:val="single" w:color="auto" w:sz="6" w:space="0"/>
              <w:right w:val="single" w:color="auto" w:sz="6" w:space="0"/>
            </w:tcBorders>
            <w:tcW w:w="385" w:type="dxa"/>
            <w:vAlign w:val="center"/>
            <w:vMerge w:val="restart"/>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pacing w:val="-34"/>
                <w:sz w:val="21"/>
                <w:szCs w:val="21"/>
                <w:lang w:val="zh-CN"/>
              </w:rPr>
              <w:t xml:space="preserve">2.2.2</w:t>
            </w:r>
            <w:r/>
          </w:p>
        </w:tc>
        <w:tc>
          <w:tcPr>
            <w:tcBorders>
              <w:top w:val="single" w:color="auto" w:sz="6" w:space="0"/>
              <w:left w:val="single" w:color="auto" w:sz="6" w:space="0"/>
              <w:bottom w:val="single" w:color="auto" w:sz="6" w:space="0"/>
              <w:right w:val="single" w:color="auto" w:sz="6" w:space="0"/>
            </w:tcBorders>
            <w:tcW w:w="349"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符</w:t>
            </w:r>
            <w:r/>
          </w:p>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合</w:t>
            </w:r>
            <w:r/>
          </w:p>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性</w:t>
            </w:r>
            <w:r/>
          </w:p>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评</w:t>
            </w:r>
            <w:r/>
          </w:p>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审</w:t>
            </w:r>
            <w:r/>
          </w:p>
        </w:tc>
        <w:tc>
          <w:tcPr>
            <w:tcBorders>
              <w:top w:val="single" w:color="auto" w:sz="6" w:space="0"/>
              <w:left w:val="single" w:color="auto" w:sz="6" w:space="0"/>
              <w:bottom w:val="single" w:color="auto" w:sz="6" w:space="0"/>
              <w:right w:val="single" w:color="auto" w:sz="6" w:space="0"/>
            </w:tcBorders>
            <w:tcW w:w="2733"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投标文件的签署</w:t>
            </w:r>
            <w:r/>
          </w:p>
        </w:tc>
        <w:tc>
          <w:tcPr>
            <w:gridSpan w:val="2"/>
            <w:tcBorders>
              <w:top w:val="single" w:color="auto" w:sz="6" w:space="0"/>
              <w:left w:val="single" w:color="auto" w:sz="6" w:space="0"/>
              <w:bottom w:val="single" w:color="auto" w:sz="6" w:space="0"/>
              <w:right w:val="single" w:color="auto" w:sz="6" w:space="0"/>
            </w:tcBorders>
            <w:tcW w:w="5731"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符合第二章第3.4.4项规定</w:t>
            </w:r>
            <w:r/>
          </w:p>
        </w:tc>
      </w:tr>
      <w:tr>
        <w:trPr>
          <w:jc w:val="center"/>
          <w:trHeight w:val="334"/>
        </w:trPr>
        <w:tc>
          <w:tcPr>
            <w:tcBorders>
              <w:top w:val="single" w:color="auto" w:sz="6" w:space="0"/>
              <w:left w:val="single" w:color="auto" w:sz="6" w:space="0"/>
              <w:bottom w:val="single" w:color="auto" w:sz="6" w:space="0"/>
              <w:right w:val="single" w:color="auto" w:sz="6" w:space="0"/>
            </w:tcBorders>
            <w:tcW w:w="385"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top w:val="single" w:color="auto" w:sz="6" w:space="0"/>
              <w:left w:val="single" w:color="auto" w:sz="6" w:space="0"/>
              <w:bottom w:val="single" w:color="auto" w:sz="6" w:space="0"/>
              <w:right w:val="single" w:color="auto" w:sz="6" w:space="0"/>
            </w:tcBorders>
            <w:tcW w:w="349"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top w:val="single" w:color="auto" w:sz="6" w:space="0"/>
              <w:left w:val="single" w:color="auto" w:sz="6" w:space="0"/>
              <w:bottom w:val="single" w:color="auto" w:sz="6" w:space="0"/>
              <w:right w:val="single" w:color="auto" w:sz="6" w:space="0"/>
            </w:tcBorders>
            <w:tcW w:w="2733"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报价</w:t>
            </w:r>
            <w:r/>
          </w:p>
        </w:tc>
        <w:tc>
          <w:tcPr>
            <w:gridSpan w:val="2"/>
            <w:tcBorders>
              <w:top w:val="single" w:color="auto" w:sz="6" w:space="0"/>
              <w:left w:val="single" w:color="auto" w:sz="6" w:space="0"/>
              <w:bottom w:val="single" w:color="auto" w:sz="6" w:space="0"/>
              <w:right w:val="single" w:color="auto" w:sz="6" w:space="0"/>
            </w:tcBorders>
            <w:tcW w:w="5731"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有且只有一个有效报价；未超过采购预算或最高限价</w:t>
            </w:r>
            <w:r/>
          </w:p>
        </w:tc>
      </w:tr>
      <w:tr>
        <w:trPr>
          <w:jc w:val="center"/>
          <w:trHeight w:val="334"/>
        </w:trPr>
        <w:tc>
          <w:tcPr>
            <w:tcBorders>
              <w:top w:val="single" w:color="auto" w:sz="6" w:space="0"/>
              <w:left w:val="single" w:color="auto" w:sz="6" w:space="0"/>
              <w:bottom w:val="single" w:color="auto" w:sz="6" w:space="0"/>
              <w:right w:val="single" w:color="auto" w:sz="6" w:space="0"/>
            </w:tcBorders>
            <w:tcW w:w="385"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top w:val="single" w:color="auto" w:sz="6" w:space="0"/>
              <w:left w:val="single" w:color="auto" w:sz="6" w:space="0"/>
              <w:bottom w:val="single" w:color="auto" w:sz="6" w:space="0"/>
              <w:right w:val="single" w:color="auto" w:sz="6" w:space="0"/>
            </w:tcBorders>
            <w:tcW w:w="349"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top w:val="single" w:color="auto" w:sz="6" w:space="0"/>
              <w:left w:val="single" w:color="auto" w:sz="6" w:space="0"/>
              <w:bottom w:val="single" w:color="auto" w:sz="6" w:space="0"/>
              <w:right w:val="single" w:color="auto" w:sz="6" w:space="0"/>
            </w:tcBorders>
            <w:tcW w:w="2733"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合同履行期限（合同工期）</w:t>
            </w:r>
            <w:r/>
          </w:p>
        </w:tc>
        <w:tc>
          <w:tcPr>
            <w:gridSpan w:val="2"/>
            <w:tcBorders>
              <w:top w:val="single" w:color="auto" w:sz="6" w:space="0"/>
              <w:left w:val="single" w:color="auto" w:sz="6" w:space="0"/>
              <w:bottom w:val="single" w:color="auto" w:sz="6" w:space="0"/>
              <w:right w:val="single" w:color="auto" w:sz="6" w:space="0"/>
            </w:tcBorders>
            <w:tcW w:w="5731"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符合第二章第1.3.2项规定</w:t>
            </w:r>
            <w:r/>
          </w:p>
        </w:tc>
      </w:tr>
      <w:tr>
        <w:trPr>
          <w:jc w:val="center"/>
          <w:trHeight w:val="408"/>
        </w:trPr>
        <w:tc>
          <w:tcPr>
            <w:tcBorders>
              <w:top w:val="single" w:color="auto" w:sz="6" w:space="0"/>
              <w:left w:val="single" w:color="auto" w:sz="6" w:space="0"/>
              <w:bottom w:val="single" w:color="auto" w:sz="6" w:space="0"/>
              <w:right w:val="single" w:color="auto" w:sz="6" w:space="0"/>
            </w:tcBorders>
            <w:tcW w:w="385"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top w:val="single" w:color="auto" w:sz="6" w:space="0"/>
              <w:left w:val="single" w:color="auto" w:sz="6" w:space="0"/>
              <w:bottom w:val="single" w:color="auto" w:sz="6" w:space="0"/>
              <w:right w:val="single" w:color="auto" w:sz="6" w:space="0"/>
            </w:tcBorders>
            <w:tcW w:w="349"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top w:val="single" w:color="auto" w:sz="6" w:space="0"/>
              <w:left w:val="single" w:color="auto" w:sz="6" w:space="0"/>
              <w:bottom w:val="single" w:color="auto" w:sz="6" w:space="0"/>
              <w:right w:val="single" w:color="auto" w:sz="6" w:space="0"/>
            </w:tcBorders>
            <w:tcW w:w="2733"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投标有效期</w:t>
            </w:r>
            <w:r/>
          </w:p>
        </w:tc>
        <w:tc>
          <w:tcPr>
            <w:gridSpan w:val="2"/>
            <w:tcBorders>
              <w:top w:val="single" w:color="auto" w:sz="6" w:space="0"/>
              <w:left w:val="single" w:color="auto" w:sz="6" w:space="0"/>
              <w:bottom w:val="single" w:color="auto" w:sz="6" w:space="0"/>
              <w:right w:val="single" w:color="auto" w:sz="6" w:space="0"/>
            </w:tcBorders>
            <w:tcW w:w="5731"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符合第二章第3.3.1项规定</w:t>
            </w:r>
            <w:r/>
          </w:p>
        </w:tc>
      </w:tr>
      <w:tr>
        <w:trPr>
          <w:jc w:val="center"/>
          <w:trHeight w:val="344"/>
        </w:trPr>
        <w:tc>
          <w:tcPr>
            <w:tcBorders>
              <w:top w:val="single" w:color="auto" w:sz="6" w:space="0"/>
              <w:left w:val="single" w:color="auto" w:sz="6" w:space="0"/>
              <w:bottom w:val="single" w:color="auto" w:sz="6" w:space="0"/>
              <w:right w:val="single" w:color="auto" w:sz="6" w:space="0"/>
            </w:tcBorders>
            <w:tcW w:w="385"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top w:val="single" w:color="auto" w:sz="6" w:space="0"/>
              <w:left w:val="single" w:color="auto" w:sz="6" w:space="0"/>
              <w:bottom w:val="single" w:color="auto" w:sz="6" w:space="0"/>
              <w:right w:val="single" w:color="auto" w:sz="6" w:space="0"/>
            </w:tcBorders>
            <w:tcW w:w="349"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top w:val="single" w:color="auto" w:sz="6" w:space="0"/>
              <w:left w:val="single" w:color="auto" w:sz="6" w:space="0"/>
              <w:bottom w:val="single" w:color="auto" w:sz="6" w:space="0"/>
              <w:right w:val="single" w:color="auto" w:sz="6" w:space="0"/>
            </w:tcBorders>
            <w:tcW w:w="2733"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偏离</w:t>
            </w:r>
            <w:r/>
          </w:p>
        </w:tc>
        <w:tc>
          <w:tcPr>
            <w:gridSpan w:val="2"/>
            <w:tcBorders>
              <w:top w:val="single" w:color="auto" w:sz="6" w:space="0"/>
              <w:left w:val="single" w:color="auto" w:sz="6" w:space="0"/>
              <w:bottom w:val="single" w:color="auto" w:sz="6" w:space="0"/>
              <w:right w:val="single" w:color="auto" w:sz="6" w:space="0"/>
            </w:tcBorders>
            <w:tcW w:w="5731" w:type="dxa"/>
            <w:vAlign w:val="center"/>
            <w:textDirection w:val="lrTb"/>
            <w:noWrap w:val="false"/>
          </w:tcPr>
          <w:p>
            <w:pPr>
              <w:keepLines w:val="0"/>
              <w:keepNext w:val="0"/>
              <w:pageBreakBefore w:val="0"/>
              <w:spacing w:line="240" w:lineRule="auto"/>
              <w:widowControl w:val="off"/>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 xml:space="preserve">第五章采购需求不允许负偏离</w:t>
            </w:r>
            <w:r/>
          </w:p>
        </w:tc>
      </w:tr>
      <w:tr>
        <w:trPr>
          <w:jc w:val="center"/>
          <w:trHeight w:val="344"/>
        </w:trPr>
        <w:tc>
          <w:tcPr>
            <w:gridSpan w:val="5"/>
            <w:tcBorders>
              <w:top w:val="single" w:color="auto" w:sz="6" w:space="0"/>
              <w:left w:val="single" w:color="auto" w:sz="6" w:space="0"/>
              <w:bottom w:val="single" w:color="auto" w:sz="6" w:space="0"/>
              <w:right w:val="single" w:color="auto" w:sz="6" w:space="0"/>
            </w:tcBorders>
            <w:tcW w:w="9198"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1"/>
                <w:szCs w:val="21"/>
                <w:lang w:val="en-US" w:eastAsia="zh-CN"/>
              </w:rPr>
            </w:pPr>
            <w:r>
              <w:rPr>
                <w:rFonts w:hint="eastAsia" w:ascii="宋体" w:hAnsi="宋体" w:eastAsia="宋体" w:cs="宋体"/>
                <w:b/>
                <w:spacing w:val="-14"/>
              </w:rPr>
              <w:t xml:space="preserve">2.2.2项评审内容由评标委员会负责，投标文件不符合2.2.2项评审标准的，作无效标处理。</w:t>
            </w:r>
            <w:r/>
          </w:p>
        </w:tc>
      </w:tr>
      <w:tr>
        <w:trPr>
          <w:jc w:val="center"/>
          <w:trHeight w:val="344"/>
        </w:trPr>
        <w:tc>
          <w:tcPr>
            <w:gridSpan w:val="5"/>
            <w:tcBorders>
              <w:top w:val="single" w:color="auto" w:sz="6" w:space="0"/>
              <w:left w:val="single" w:color="auto" w:sz="6" w:space="0"/>
              <w:bottom w:val="single" w:color="auto" w:sz="6" w:space="0"/>
              <w:right w:val="single" w:color="auto" w:sz="6" w:space="0"/>
            </w:tcBorders>
            <w:tcW w:w="919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cs="宋体"/>
                <w:b/>
                <w:bCs/>
                <w:sz w:val="21"/>
                <w:szCs w:val="21"/>
                <w:lang w:val="en-US" w:eastAsia="zh-CN"/>
              </w:rPr>
              <w:t xml:space="preserve">2.3详细评审</w:t>
            </w:r>
            <w:r/>
          </w:p>
        </w:tc>
      </w:tr>
      <w:tr>
        <w:trPr>
          <w:jc w:val="center"/>
          <w:trHeight w:val="344"/>
        </w:trPr>
        <w:tc>
          <w:tcPr>
            <w:gridSpan w:val="2"/>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b/>
                <w:bCs/>
                <w:sz w:val="24"/>
                <w:szCs w:val="24"/>
                <w:highlight w:val="none"/>
              </w:rPr>
              <w:t xml:space="preserve">项目</w:t>
            </w:r>
            <w:r/>
          </w:p>
        </w:tc>
        <w:tc>
          <w:tcPr>
            <w:gridSpan w:val="2"/>
            <w:tcBorders>
              <w:top w:val="single" w:color="auto" w:sz="6" w:space="0"/>
              <w:left w:val="single" w:color="auto" w:sz="6" w:space="0"/>
              <w:bottom w:val="single" w:color="auto" w:sz="6" w:space="0"/>
              <w:right w:val="single" w:color="auto" w:sz="6" w:space="0"/>
            </w:tcBorders>
            <w:tcW w:w="783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b/>
                <w:bCs/>
                <w:sz w:val="24"/>
                <w:szCs w:val="24"/>
                <w:highlight w:val="none"/>
              </w:rPr>
              <w:t xml:space="preserve">评分内容</w:t>
            </w:r>
            <w:r/>
          </w:p>
        </w:tc>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b/>
                <w:bCs/>
                <w:spacing w:val="-28"/>
                <w:sz w:val="24"/>
                <w:szCs w:val="24"/>
                <w:highlight w:val="none"/>
              </w:rPr>
              <w:t xml:space="preserve">最高分</w:t>
            </w:r>
            <w:r/>
          </w:p>
        </w:tc>
      </w:tr>
      <w:tr>
        <w:trPr>
          <w:jc w:val="center"/>
          <w:trHeight w:val="344"/>
        </w:trPr>
        <w:tc>
          <w:tcPr>
            <w:gridSpan w:val="5"/>
            <w:tcBorders>
              <w:top w:val="single" w:color="auto" w:sz="6" w:space="0"/>
              <w:left w:val="single" w:color="auto" w:sz="6" w:space="0"/>
              <w:bottom w:val="single" w:color="auto" w:sz="6" w:space="0"/>
              <w:right w:val="single" w:color="auto" w:sz="6" w:space="0"/>
            </w:tcBorders>
            <w:tcW w:w="919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spacing w:val="-28"/>
                <w:sz w:val="24"/>
                <w:szCs w:val="24"/>
                <w:highlight w:val="none"/>
                <w:lang w:val="en-US" w:eastAsia="zh-CN"/>
              </w:rPr>
            </w:pPr>
            <w:r>
              <w:rPr>
                <w:rFonts w:hint="eastAsia" w:ascii="宋体" w:hAnsi="宋体" w:cs="宋体"/>
                <w:b/>
                <w:bCs/>
                <w:spacing w:val="-28"/>
                <w:sz w:val="24"/>
                <w:szCs w:val="24"/>
                <w:highlight w:val="none"/>
                <w:lang w:val="en-US" w:eastAsia="zh-CN"/>
              </w:rPr>
              <w:t xml:space="preserve">价格评审（10分）</w:t>
            </w:r>
            <w:r/>
          </w:p>
        </w:tc>
      </w:tr>
      <w:tr>
        <w:trPr>
          <w:jc w:val="center"/>
          <w:trHeight w:val="344"/>
        </w:trPr>
        <w:tc>
          <w:tcPr>
            <w:gridSpan w:val="2"/>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报价部分</w:t>
            </w: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10分</w:t>
            </w:r>
            <w:r>
              <w:rPr>
                <w:rFonts w:hint="eastAsia" w:ascii="宋体" w:hAnsi="宋体" w:eastAsia="宋体" w:cs="宋体"/>
                <w:sz w:val="21"/>
                <w:szCs w:val="21"/>
                <w:highlight w:val="none"/>
                <w:lang w:val="zh-CN" w:eastAsia="zh-CN"/>
              </w:rPr>
              <w:t xml:space="preserve">）</w:t>
            </w:r>
            <w:r/>
          </w:p>
        </w:tc>
        <w:tc>
          <w:tcPr>
            <w:gridSpan w:val="2"/>
            <w:tcBorders>
              <w:top w:val="single" w:color="auto" w:sz="6" w:space="0"/>
              <w:left w:val="single" w:color="auto" w:sz="6" w:space="0"/>
              <w:bottom w:val="single" w:color="auto" w:sz="6" w:space="0"/>
              <w:right w:val="single" w:color="auto" w:sz="6" w:space="0"/>
            </w:tcBorders>
            <w:tcW w:w="7830"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资格性审查和符合性审查合格且投标价格最低为评标基准价，其价格分为1</w:t>
            </w:r>
            <w:r>
              <w:rPr>
                <w:rFonts w:hint="eastAsia" w:ascii="宋体" w:hAnsi="宋体" w:eastAsia="宋体" w:cs="宋体"/>
                <w:sz w:val="21"/>
                <w:szCs w:val="21"/>
                <w:lang w:val="en-US" w:eastAsia="zh-CN"/>
              </w:rPr>
              <w:t xml:space="preserve">0</w:t>
            </w:r>
            <w:r>
              <w:rPr>
                <w:rFonts w:hint="eastAsia" w:ascii="宋体" w:hAnsi="宋体" w:eastAsia="宋体" w:cs="宋体"/>
                <w:sz w:val="21"/>
                <w:szCs w:val="21"/>
                <w:lang w:val="zh-CN"/>
              </w:rPr>
              <w:t xml:space="preserve">分。其他投标人的价格分按照下列公式计算（小数点保留两位）：</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投标报价得分=（评标基准价／投标报价）×10分（保留两位小数）。</w:t>
            </w:r>
            <w:r/>
          </w:p>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lang w:val="zh-CN"/>
              </w:rPr>
              <w:t xml:space="preserve">说明：根据《政府采购促进中小企业发展管理办法》规定，对小型和微型生产企业生产的产品或承接的服务价格给予10%的扣除，扣除后的价格参与评审。供应商应当提供《中小企业声明函》（格式见附件）</w:t>
            </w:r>
            <w:r/>
          </w:p>
        </w:tc>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400" w:lineRule="exact"/>
              <w:rPr>
                <w:rFonts w:hint="default" w:ascii="宋体" w:hAnsi="宋体" w:eastAsia="宋体" w:cs="宋体"/>
                <w:sz w:val="21"/>
                <w:szCs w:val="21"/>
                <w:highlight w:val="none"/>
                <w:lang w:val="en-US" w:eastAsia="zh-CN"/>
              </w:rPr>
            </w:pPr>
            <w:r>
              <w:rPr>
                <w:rFonts w:hint="eastAsia" w:ascii="宋体" w:hAnsi="宋体" w:cs="宋体"/>
                <w:szCs w:val="21"/>
                <w:highlight w:val="none"/>
                <w:lang w:val="en-US" w:eastAsia="zh-CN"/>
              </w:rPr>
              <w:t xml:space="preserve">10</w:t>
            </w:r>
            <w:r/>
          </w:p>
        </w:tc>
      </w:tr>
      <w:tr>
        <w:trPr>
          <w:jc w:val="center"/>
          <w:trHeight w:val="344"/>
        </w:trPr>
        <w:tc>
          <w:tcPr>
            <w:gridSpan w:val="5"/>
            <w:tcBorders>
              <w:top w:val="single" w:color="auto" w:sz="6" w:space="0"/>
              <w:left w:val="single" w:color="auto" w:sz="6" w:space="0"/>
              <w:bottom w:val="single" w:color="auto" w:sz="6" w:space="0"/>
              <w:right w:val="single" w:color="auto" w:sz="6" w:space="0"/>
            </w:tcBorders>
            <w:tcW w:w="9198"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1"/>
                <w:szCs w:val="21"/>
                <w:lang w:val="en-US" w:eastAsia="zh-CN"/>
              </w:rPr>
            </w:pPr>
            <w:r>
              <w:rPr>
                <w:rFonts w:hint="eastAsia" w:ascii="宋体" w:hAnsi="宋体" w:eastAsia="宋体" w:cs="宋体"/>
                <w:b/>
                <w:bCs/>
                <w:highlight w:val="none"/>
                <w:lang w:val="zh-CN" w:eastAsia="zh-CN"/>
              </w:rPr>
              <w:t xml:space="preserve">技术评审（</w:t>
            </w:r>
            <w:r>
              <w:rPr>
                <w:rFonts w:hint="eastAsia" w:ascii="宋体" w:hAnsi="宋体" w:cs="宋体"/>
                <w:b/>
                <w:bCs/>
                <w:highlight w:val="none"/>
                <w:lang w:val="en-US" w:eastAsia="zh-CN"/>
              </w:rPr>
              <w:t xml:space="preserve">29</w:t>
            </w:r>
            <w:r>
              <w:rPr>
                <w:rFonts w:hint="eastAsia" w:ascii="宋体" w:hAnsi="宋体" w:eastAsia="宋体" w:cs="宋体"/>
                <w:b/>
                <w:bCs/>
                <w:highlight w:val="none"/>
                <w:lang w:val="zh-CN" w:eastAsia="zh-CN"/>
              </w:rPr>
              <w:t xml:space="preserve">分）</w:t>
            </w:r>
            <w:r/>
          </w:p>
        </w:tc>
      </w:tr>
      <w:tr>
        <w:trPr>
          <w:jc w:val="center"/>
          <w:trHeight w:val="344"/>
        </w:trPr>
        <w:tc>
          <w:tcPr>
            <w:gridSpan w:val="2"/>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spacing w:line="32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技术方案(1</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分）</w:t>
            </w:r>
            <w:r/>
          </w:p>
        </w:tc>
        <w:tc>
          <w:tcPr>
            <w:gridSpan w:val="2"/>
            <w:tcBorders>
              <w:top w:val="single" w:color="auto" w:sz="6" w:space="0"/>
              <w:left w:val="single" w:color="auto" w:sz="6" w:space="0"/>
              <w:bottom w:val="single" w:color="auto" w:sz="6" w:space="0"/>
              <w:right w:val="single" w:color="auto" w:sz="6" w:space="0"/>
            </w:tcBorders>
            <w:tcW w:w="7830"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仿宋_GB2312" w:hAnsi="仿宋" w:eastAsia="仿宋_GB2312"/>
                <w:highlight w:val="none"/>
              </w:rPr>
              <w:t xml:space="preserve">1</w:t>
            </w:r>
            <w:r>
              <w:rPr>
                <w:rFonts w:hint="eastAsia" w:ascii="宋体" w:hAnsi="宋体" w:eastAsia="宋体" w:cs="宋体"/>
                <w:sz w:val="21"/>
                <w:szCs w:val="21"/>
                <w:highlight w:val="none"/>
                <w:lang w:val="zh-CN"/>
              </w:rPr>
              <w:t xml:space="preserve">.方案的先进性（5分）：</w:t>
            </w:r>
            <w:r/>
          </w:p>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技术路线清晰、合理，与项目既定目标关联度较强，可操作性强，评价为优，5分；</w:t>
            </w:r>
            <w:r/>
          </w:p>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技术路线较为清晰、合理，与项目目标具备一定的关联度，具备可操作性，评价为良，3分；</w:t>
            </w:r>
            <w:r/>
          </w:p>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技术路线不太清晰、合理，与项目目标间关联度较低，可操作性不强，评价为一般，1分；</w:t>
            </w:r>
            <w:r/>
          </w:p>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没有内容不得分。</w:t>
            </w:r>
            <w:r/>
          </w:p>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2.方案的逻辑性（</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w:t>
            </w:r>
            <w:r/>
          </w:p>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技术逻辑性强，与项目内容适合度较高，理论与实际联系程度较强，可行性强，评价为优，</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w:t>
            </w:r>
            <w:r/>
          </w:p>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技术具备一定逻辑性，可部分满足项目内容需要，具备一定理论基础，适当调整后可应用于实践，评价为良，</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分；</w:t>
            </w:r>
            <w:r/>
          </w:p>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技术逻辑性不足，难以满足项目内容要求，缺乏系统的理论基础，可行性较差，评价为一般，1分；</w:t>
            </w:r>
            <w:r/>
          </w:p>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没有内容不得分。</w:t>
            </w:r>
            <w:r/>
          </w:p>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3.项目的重难点分析（</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w:t>
            </w:r>
            <w:r/>
          </w:p>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对工作的重点及难点理解深刻、分析准确、能够精准的描述出经常出现的各种问题及处理方案，评价为优，</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w:t>
            </w:r>
            <w:r/>
          </w:p>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对工作的重点及难点有一定程度的理解与分析，对经常出现的各种问题及处理方案的描述较具体，评价为良，</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分；</w:t>
            </w:r>
            <w:r/>
          </w:p>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对工作的重点及难点理解不足、分析不全面、对经常出现的各种问题及处理方案的描述不具体，评价为一般，1分；</w:t>
            </w:r>
            <w:r/>
          </w:p>
          <w:p>
            <w:pPr>
              <w:jc w:val="left"/>
              <w:spacing w:line="32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没有内容不得分。</w:t>
            </w:r>
            <w:r/>
          </w:p>
        </w:tc>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320" w:lineRule="exact"/>
              <w:rPr>
                <w:rFonts w:hint="default" w:ascii="宋体" w:hAnsi="宋体" w:eastAsia="宋体" w:cs="宋体"/>
                <w:sz w:val="21"/>
                <w:szCs w:val="21"/>
                <w:highlight w:val="none"/>
                <w:lang w:val="en-US" w:eastAsia="zh-CN"/>
              </w:rPr>
            </w:pPr>
            <w:r>
              <w:rPr>
                <w:rFonts w:hint="eastAsia" w:ascii="宋体"/>
                <w:b w:val="0"/>
                <w:bCs/>
                <w:highlight w:val="none"/>
                <w:lang w:val="en-US" w:eastAsia="zh-CN"/>
              </w:rPr>
              <w:t xml:space="preserve">13</w:t>
            </w:r>
            <w:r/>
          </w:p>
        </w:tc>
      </w:tr>
      <w:tr>
        <w:trPr>
          <w:jc w:val="center"/>
          <w:trHeight w:val="344"/>
        </w:trPr>
        <w:tc>
          <w:tcPr>
            <w:gridSpan w:val="2"/>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spacing w:line="400" w:lineRule="exact"/>
              <w:rPr>
                <w:rFonts w:hint="eastAsia" w:ascii="宋体" w:hAnsi="宋体" w:eastAsia="宋体" w:cs="宋体"/>
                <w:sz w:val="21"/>
                <w:szCs w:val="21"/>
                <w:highlight w:val="none"/>
                <w:lang w:val="zh-CN"/>
              </w:rPr>
            </w:pPr>
            <w:r>
              <w:rPr>
                <w:rFonts w:hint="eastAsia" w:ascii="宋体" w:hAnsi="宋体" w:eastAsia="宋体" w:cs="宋体"/>
                <w:color w:val="auto"/>
                <w:sz w:val="21"/>
                <w:szCs w:val="21"/>
                <w:highlight w:val="none"/>
                <w:lang w:val="zh-CN"/>
              </w:rPr>
              <w:t xml:space="preserve">质量保障（</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分） </w:t>
            </w:r>
            <w:r>
              <w:rPr>
                <w:rFonts w:hint="eastAsia" w:ascii="宋体" w:hAnsi="宋体" w:eastAsia="宋体" w:cs="宋体"/>
                <w:sz w:val="21"/>
                <w:szCs w:val="21"/>
                <w:highlight w:val="none"/>
              </w:rPr>
              <w:t xml:space="preserve"> </w:t>
            </w:r>
            <w:r/>
          </w:p>
        </w:tc>
        <w:tc>
          <w:tcPr>
            <w:gridSpan w:val="2"/>
            <w:tcBorders>
              <w:top w:val="single" w:color="auto" w:sz="6" w:space="0"/>
              <w:left w:val="single" w:color="auto" w:sz="6" w:space="0"/>
              <w:bottom w:val="single" w:color="auto" w:sz="6" w:space="0"/>
              <w:right w:val="single" w:color="auto" w:sz="6" w:space="0"/>
            </w:tcBorders>
            <w:tcW w:w="7830"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重视项目时间、质量、项目成果及部门衔接沟通效果，建立健全项目管理及相关配套机制，质量保障体系完整、措施得力，评价为优，</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w:t>
            </w:r>
            <w:r/>
          </w:p>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cs="宋体"/>
                <w:sz w:val="21"/>
                <w:szCs w:val="21"/>
                <w:highlight w:val="none"/>
                <w:lang w:val="en-US" w:eastAsia="zh-CN"/>
              </w:rPr>
              <w:t xml:space="preserve">基本</w:t>
            </w:r>
            <w:r>
              <w:rPr>
                <w:rFonts w:hint="eastAsia" w:ascii="宋体" w:hAnsi="宋体" w:eastAsia="宋体" w:cs="宋体"/>
                <w:sz w:val="21"/>
                <w:szCs w:val="21"/>
                <w:highlight w:val="none"/>
                <w:lang w:val="zh-CN"/>
              </w:rPr>
              <w:t xml:space="preserve">能够掌控项目时间、质量等要素，体系及措施较完善，评价为良，</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分；</w:t>
            </w:r>
            <w:r/>
          </w:p>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有保障措施，但缺少良好的项目管理制度，缺乏有效沟通机制，不完善、不完整、不得力，仅做出响应，评价为一般，1分；</w:t>
            </w:r>
            <w:r/>
          </w:p>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没有内容不得分。</w:t>
            </w:r>
            <w:r/>
          </w:p>
        </w:tc>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400" w:lineRule="exact"/>
              <w:rPr>
                <w:rFonts w:hint="default" w:ascii="宋体" w:hAnsi="宋体" w:eastAsia="宋体" w:cs="宋体"/>
                <w:sz w:val="21"/>
                <w:szCs w:val="21"/>
                <w:highlight w:val="none"/>
                <w:lang w:val="en-US" w:eastAsia="zh-CN"/>
              </w:rPr>
            </w:pPr>
            <w:r>
              <w:rPr>
                <w:rFonts w:hint="eastAsia" w:ascii="宋体" w:hAnsi="宋体" w:cs="宋体"/>
                <w:szCs w:val="21"/>
                <w:highlight w:val="none"/>
                <w:lang w:val="en-US" w:eastAsia="zh-CN"/>
              </w:rPr>
              <w:t xml:space="preserve">4</w:t>
            </w:r>
            <w:r/>
          </w:p>
        </w:tc>
      </w:tr>
      <w:tr>
        <w:trPr>
          <w:jc w:val="center"/>
          <w:trHeight w:val="344"/>
        </w:trPr>
        <w:tc>
          <w:tcPr>
            <w:gridSpan w:val="2"/>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spacing w:line="320" w:lineRule="exact"/>
              <w:rPr>
                <w:rFonts w:hint="eastAsia" w:ascii="宋体" w:hAnsi="宋体" w:eastAsia="宋体" w:cs="宋体"/>
                <w:sz w:val="21"/>
                <w:szCs w:val="21"/>
                <w:highlight w:val="none"/>
                <w:lang w:val="zh-CN"/>
              </w:rPr>
            </w:pPr>
            <w:r>
              <w:rPr>
                <w:rFonts w:hint="eastAsia" w:ascii="宋体" w:hAnsi="宋体" w:eastAsia="宋体" w:cs="宋体"/>
                <w:color w:val="auto"/>
                <w:sz w:val="21"/>
                <w:szCs w:val="21"/>
                <w:highlight w:val="none"/>
              </w:rPr>
              <w:t xml:space="preserve">进度保障（</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gridSpan w:val="2"/>
            <w:tcBorders>
              <w:top w:val="single" w:color="auto" w:sz="6" w:space="0"/>
              <w:left w:val="single" w:color="auto" w:sz="6" w:space="0"/>
              <w:bottom w:val="single" w:color="auto" w:sz="6" w:space="0"/>
              <w:right w:val="single" w:color="auto" w:sz="6" w:space="0"/>
            </w:tcBorders>
            <w:tcW w:w="7830"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工作进度计划控制措施得力，组织体系完备，保障措施合理、可行，时间进度安排合理，阶段目标明确，评价为优，</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w:t>
            </w:r>
            <w:r/>
          </w:p>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时间进度安排较为合理，阶段目标较为明确，组织体系具备，保障措施一般，具有一定可行性，评价为良，</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分；</w:t>
            </w:r>
            <w:r/>
          </w:p>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有保障措施，但不完善、不完整，时间进度安排模糊不清，阶段目标不太明确，评价为一般，1分。</w:t>
            </w:r>
            <w:r/>
          </w:p>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没有内容不得分。</w:t>
            </w:r>
            <w:r/>
          </w:p>
        </w:tc>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400" w:lineRule="exact"/>
              <w:rPr>
                <w:rFonts w:hint="default" w:ascii="宋体" w:hAnsi="宋体" w:eastAsia="宋体" w:cs="宋体"/>
                <w:sz w:val="21"/>
                <w:szCs w:val="21"/>
                <w:highlight w:val="none"/>
                <w:lang w:val="en-US" w:eastAsia="zh-CN"/>
              </w:rPr>
            </w:pPr>
            <w:r>
              <w:rPr>
                <w:rFonts w:hint="eastAsia" w:ascii="宋体" w:hAnsi="宋体" w:cs="宋体"/>
                <w:szCs w:val="21"/>
                <w:highlight w:val="none"/>
                <w:lang w:val="en-US" w:eastAsia="zh-CN"/>
              </w:rPr>
              <w:t xml:space="preserve">4</w:t>
            </w:r>
            <w:r/>
          </w:p>
        </w:tc>
      </w:tr>
      <w:tr>
        <w:trPr>
          <w:jc w:val="center"/>
          <w:trHeight w:val="344"/>
        </w:trPr>
        <w:tc>
          <w:tcPr>
            <w:gridSpan w:val="2"/>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服务承诺（</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w:t>
            </w:r>
            <w:r/>
          </w:p>
        </w:tc>
        <w:tc>
          <w:tcPr>
            <w:gridSpan w:val="2"/>
            <w:tcBorders>
              <w:top w:val="single" w:color="auto" w:sz="6" w:space="0"/>
              <w:left w:val="single" w:color="auto" w:sz="6" w:space="0"/>
              <w:bottom w:val="single" w:color="auto" w:sz="6" w:space="0"/>
              <w:right w:val="single" w:color="auto" w:sz="6" w:space="0"/>
            </w:tcBorders>
            <w:tcW w:w="7830"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服务承诺针对性强、合理、可行，对本项目重点和难点问题提出创新、创优等合理化建议的，得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w:t>
            </w:r>
            <w:r/>
          </w:p>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服务承诺诺针对性、合理性、可行性较强，对本项目重点和难点问题有相关合理化建议的，得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分；</w:t>
            </w:r>
            <w:r/>
          </w:p>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服务承诺无针对性、合理性、可行性差，对本项目重点和难点问题相关建议不合理的，得1分；</w:t>
            </w:r>
            <w:r/>
          </w:p>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没有内容不得分。</w:t>
            </w:r>
            <w:r/>
          </w:p>
        </w:tc>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400" w:lineRule="exact"/>
              <w:rPr>
                <w:rFonts w:hint="default" w:ascii="宋体" w:hAnsi="宋体" w:eastAsia="宋体" w:cs="宋体"/>
                <w:sz w:val="21"/>
                <w:szCs w:val="21"/>
                <w:highlight w:val="none"/>
                <w:lang w:val="en-US" w:eastAsia="zh-CN"/>
              </w:rPr>
            </w:pPr>
            <w:r>
              <w:rPr>
                <w:rFonts w:hint="eastAsia" w:ascii="宋体" w:hAnsi="宋体" w:cs="宋体"/>
                <w:szCs w:val="21"/>
                <w:highlight w:val="none"/>
                <w:lang w:val="en-US" w:eastAsia="zh-CN"/>
              </w:rPr>
              <w:t xml:space="preserve">4</w:t>
            </w:r>
            <w:r/>
          </w:p>
        </w:tc>
      </w:tr>
      <w:tr>
        <w:trPr>
          <w:jc w:val="center"/>
          <w:trHeight w:val="344"/>
        </w:trPr>
        <w:tc>
          <w:tcPr>
            <w:gridSpan w:val="2"/>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安全保密措施（</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w:t>
            </w:r>
            <w:r/>
          </w:p>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gridSpan w:val="2"/>
            <w:tcBorders>
              <w:top w:val="single" w:color="auto" w:sz="6" w:space="0"/>
              <w:left w:val="single" w:color="auto" w:sz="6" w:space="0"/>
              <w:bottom w:val="single" w:color="auto" w:sz="6" w:space="0"/>
              <w:right w:val="single" w:color="auto" w:sz="6" w:space="0"/>
            </w:tcBorders>
            <w:tcW w:w="7830"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根据投标人对本次服务数据提供的保密制度、措施等内容进行综合评审。</w:t>
            </w:r>
            <w:r/>
          </w:p>
          <w:p>
            <w:pPr>
              <w:keepLines w:val="0"/>
              <w:keepNext w:val="0"/>
              <w:pageBreakBefore w:val="0"/>
              <w:spacing w:line="24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安全责任制度、数据资料保密管理制度可靠合理，得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eastAsia="zh-CN"/>
              </w:rPr>
              <w:t xml:space="preserve">分； </w:t>
            </w:r>
            <w:r/>
          </w:p>
          <w:p>
            <w:pPr>
              <w:keepLines w:val="0"/>
              <w:keepNext w:val="0"/>
              <w:pageBreakBefore w:val="0"/>
              <w:spacing w:line="24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安全责任制度、数据资料保密管理制度有待改进完善，得 </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eastAsia="zh-CN"/>
              </w:rPr>
              <w:t xml:space="preserve"> 分， </w:t>
            </w:r>
            <w:r/>
          </w:p>
          <w:p>
            <w:pPr>
              <w:keepLines w:val="0"/>
              <w:keepNext w:val="0"/>
              <w:pageBreakBefore w:val="0"/>
              <w:spacing w:line="24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安全责任制度、数据资料保密管理制度不健全、措施不可靠不合理，得 1 分； </w:t>
            </w:r>
            <w:r/>
          </w:p>
          <w:p>
            <w:pPr>
              <w:keepLines w:val="0"/>
              <w:keepNext w:val="0"/>
              <w:pageBreakBefore w:val="0"/>
              <w:spacing w:line="240" w:lineRule="auto"/>
              <w:widowControl w:val="off"/>
              <w:rPr>
                <w:rFonts w:hint="eastAsia" w:ascii="宋体" w:hAnsi="宋体" w:cs="宋体"/>
                <w:szCs w:val="21"/>
                <w:highlight w:val="none"/>
                <w:lang w:val="zh-CN" w:eastAsia="zh-CN"/>
              </w:rPr>
            </w:pPr>
            <w:r>
              <w:rPr>
                <w:rFonts w:hint="eastAsia" w:ascii="宋体" w:hAnsi="宋体" w:eastAsia="宋体" w:cs="宋体"/>
                <w:sz w:val="21"/>
                <w:szCs w:val="21"/>
                <w:highlight w:val="none"/>
                <w:lang w:val="zh-CN" w:eastAsia="zh-CN"/>
              </w:rPr>
              <w:t xml:space="preserve">没有内容不得分。</w:t>
            </w:r>
            <w:r/>
          </w:p>
        </w:tc>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400" w:lineRule="exact"/>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4</w:t>
            </w:r>
            <w:r/>
          </w:p>
        </w:tc>
      </w:tr>
      <w:tr>
        <w:trPr>
          <w:jc w:val="center"/>
          <w:trHeight w:val="344"/>
        </w:trPr>
        <w:tc>
          <w:tcPr>
            <w:gridSpan w:val="5"/>
            <w:tcBorders>
              <w:top w:val="single" w:color="auto" w:sz="6" w:space="0"/>
              <w:left w:val="single" w:color="auto" w:sz="6" w:space="0"/>
              <w:bottom w:val="single" w:color="auto" w:sz="6" w:space="0"/>
              <w:right w:val="single" w:color="auto" w:sz="6" w:space="0"/>
            </w:tcBorders>
            <w:tcW w:w="919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cs="宋体"/>
                <w:sz w:val="21"/>
                <w:szCs w:val="21"/>
                <w:highlight w:val="none"/>
                <w:lang w:val="en-US" w:eastAsia="zh-CN"/>
              </w:rPr>
              <w:t xml:space="preserve">商务评审（61分）</w:t>
            </w:r>
            <w:r/>
          </w:p>
        </w:tc>
      </w:tr>
      <w:tr>
        <w:trPr>
          <w:jc w:val="center"/>
          <w:trHeight w:val="344"/>
        </w:trPr>
        <w:tc>
          <w:tcPr>
            <w:gridSpan w:val="2"/>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eastAsia="zh-CN"/>
              </w:rPr>
              <w:t xml:space="preserve">组织力量（</w:t>
            </w:r>
            <w:r>
              <w:rPr>
                <w:rFonts w:hint="eastAsia" w:ascii="宋体" w:hAnsi="宋体" w:eastAsia="宋体" w:cs="宋体"/>
                <w:sz w:val="21"/>
                <w:szCs w:val="21"/>
                <w:highlight w:val="none"/>
                <w:lang w:val="en-US" w:eastAsia="zh-CN"/>
              </w:rPr>
              <w:t xml:space="preserve">21分</w:t>
            </w:r>
            <w:r>
              <w:rPr>
                <w:rFonts w:hint="eastAsia" w:ascii="宋体" w:hAnsi="宋体" w:eastAsia="宋体" w:cs="宋体"/>
                <w:sz w:val="21"/>
                <w:szCs w:val="21"/>
                <w:highlight w:val="none"/>
                <w:lang w:val="zh-CN" w:eastAsia="zh-CN"/>
              </w:rPr>
              <w:t xml:space="preserve">）</w:t>
            </w:r>
            <w:r/>
          </w:p>
        </w:tc>
        <w:tc>
          <w:tcPr>
            <w:gridSpan w:val="2"/>
            <w:tcBorders>
              <w:top w:val="single" w:color="auto" w:sz="6" w:space="0"/>
              <w:left w:val="single" w:color="auto" w:sz="6" w:space="0"/>
              <w:bottom w:val="single" w:color="auto" w:sz="6" w:space="0"/>
              <w:right w:val="single" w:color="auto" w:sz="6" w:space="0"/>
            </w:tcBorders>
            <w:tcW w:w="7830"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1、拟投入本项目的项目负责人具备注册城乡规划师执业资格的得4分。具备城乡规划或土地规划专业高级及以上职称的得3分，具备城乡规划或土地规划专业中级职称的得2分，最高得3分。本项最高得7分。</w:t>
            </w:r>
            <w:r/>
          </w:p>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2、拟投入本项目的技术负责人具备注册城乡规划师执业资格的得4分。具备城乡规划或土地规划专业高级及以上职称的得2分，具备城乡规划或土地规划专业中级职称的得1分，最高得2分。本项最高得6分。</w:t>
            </w:r>
            <w:r/>
          </w:p>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拟投入本项目的技术成员中具有城乡规划、土地规划、电子信息工程或测绘工程专业高级及以上职称的每有一个得2分，中级职称的每有一个得1分。本项最高得8分，其他不得分。同一类提供多个人员仅计取一次分数，同一人员有多个职称的仅计取一次分数。</w:t>
            </w:r>
            <w:r/>
          </w:p>
          <w:p>
            <w:pP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注：以上项目团队人员不得相互兼任，须提供职称证书（职称证书不能体现专业的需提供职称评审表或毕业证书）、</w:t>
            </w:r>
            <w:r>
              <w:rPr>
                <w:rFonts w:hint="eastAsia" w:ascii="宋体" w:hAnsi="宋体" w:cs="宋体"/>
                <w:sz w:val="21"/>
                <w:szCs w:val="21"/>
                <w:highlight w:val="none"/>
                <w:lang w:val="zh-CN"/>
              </w:rPr>
              <w:t xml:space="preserve">投标人为其缴纳的</w:t>
            </w:r>
            <w:r>
              <w:rPr>
                <w:rFonts w:hint="eastAsia" w:ascii="宋体" w:hAnsi="宋体" w:cs="宋体"/>
                <w:sz w:val="21"/>
                <w:szCs w:val="21"/>
                <w:highlight w:val="none"/>
                <w:lang w:val="en-US" w:eastAsia="zh-CN"/>
              </w:rPr>
              <w:t xml:space="preserve">上个月或当月</w:t>
            </w:r>
            <w:r>
              <w:rPr>
                <w:rFonts w:hint="eastAsia" w:ascii="宋体" w:hAnsi="宋体" w:eastAsia="宋体" w:cs="宋体"/>
                <w:sz w:val="21"/>
                <w:szCs w:val="21"/>
                <w:highlight w:val="none"/>
                <w:lang w:val="zh-CN"/>
              </w:rPr>
              <w:t xml:space="preserve">的有效社保证明材料编入投标文件，否则不得分。</w:t>
            </w:r>
            <w:r/>
          </w:p>
        </w:tc>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400" w:lineRule="exact"/>
              <w:rPr>
                <w:rFonts w:hint="default" w:ascii="宋体" w:hAnsi="宋体" w:eastAsia="宋体" w:cs="宋体"/>
                <w:sz w:val="21"/>
                <w:szCs w:val="21"/>
                <w:highlight w:val="none"/>
                <w:lang w:val="en-US" w:eastAsia="zh-CN"/>
              </w:rPr>
            </w:pPr>
            <w:r>
              <w:rPr>
                <w:rFonts w:hint="eastAsia" w:ascii="宋体" w:hAnsi="宋体" w:cs="宋体"/>
                <w:szCs w:val="21"/>
                <w:highlight w:val="none"/>
                <w:lang w:val="en-US" w:eastAsia="zh-CN"/>
              </w:rPr>
              <w:t xml:space="preserve">21</w:t>
            </w:r>
            <w:r/>
          </w:p>
        </w:tc>
      </w:tr>
      <w:tr>
        <w:trPr>
          <w:jc w:val="center"/>
          <w:trHeight w:val="344"/>
        </w:trPr>
        <w:tc>
          <w:tcPr>
            <w:gridSpan w:val="2"/>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业绩情况（24分）</w:t>
            </w:r>
            <w:r/>
          </w:p>
        </w:tc>
        <w:tc>
          <w:tcPr>
            <w:gridSpan w:val="2"/>
            <w:tcBorders>
              <w:top w:val="single" w:color="auto" w:sz="6" w:space="0"/>
              <w:left w:val="single" w:color="auto" w:sz="6" w:space="0"/>
              <w:bottom w:val="single" w:color="auto" w:sz="6" w:space="0"/>
              <w:right w:val="single" w:color="auto" w:sz="6" w:space="0"/>
            </w:tcBorders>
            <w:tcW w:w="7830" w:type="dxa"/>
            <w:vAlign w:val="center"/>
            <w:textDirection w:val="lrTb"/>
            <w:noWrap w:val="false"/>
          </w:tcPr>
          <w:p>
            <w:pPr>
              <w:numPr>
                <w:ilvl w:val="0"/>
                <w:numId w:val="0"/>
              </w:numPr>
              <w:ind w:left="0" w:firstLine="0"/>
              <w:keepLines w:val="0"/>
              <w:keepNext w:val="0"/>
              <w:pageBreakBefore w:val="0"/>
              <w:spacing w:line="24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投标人承担过城镇开发边界范围内详细规划编制的，每提供一个得3分。本项最高得12分。</w:t>
            </w:r>
            <w:r/>
          </w:p>
          <w:p>
            <w:pPr>
              <w:numPr>
                <w:ilvl w:val="0"/>
                <w:numId w:val="0"/>
              </w:numPr>
              <w:ind w:left="0" w:firstLine="0"/>
              <w:keepLines w:val="0"/>
              <w:keepNext w:val="0"/>
              <w:pageBreakBefore w:val="0"/>
              <w:spacing w:line="24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投标人承担过城镇开发边界范围外村庄规划编制的，每提供一个得3分。本项最高得12分。</w:t>
            </w:r>
            <w:r/>
          </w:p>
          <w:p>
            <w:pPr>
              <w:numPr>
                <w:ilvl w:val="0"/>
                <w:numId w:val="0"/>
              </w:numPr>
              <w:ind w:left="0" w:firstLine="0"/>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eastAsia="zh-CN"/>
              </w:rPr>
              <w:t xml:space="preserve">注：转包和分包合同无效，须提供合同原件扫描件，否则不得分。</w:t>
            </w:r>
            <w:r/>
          </w:p>
        </w:tc>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400" w:lineRule="exact"/>
              <w:rPr>
                <w:rFonts w:hint="default" w:ascii="宋体" w:hAnsi="宋体" w:eastAsia="宋体" w:cs="宋体"/>
                <w:sz w:val="21"/>
                <w:szCs w:val="21"/>
                <w:highlight w:val="none"/>
                <w:lang w:val="en-US" w:eastAsia="zh-CN"/>
              </w:rPr>
            </w:pPr>
            <w:r>
              <w:rPr>
                <w:rFonts w:hint="eastAsia" w:ascii="宋体" w:hAnsi="宋体" w:cs="宋体"/>
                <w:szCs w:val="21"/>
                <w:highlight w:val="none"/>
                <w:lang w:val="en-US" w:eastAsia="zh-CN"/>
              </w:rPr>
              <w:t xml:space="preserve">24</w:t>
            </w:r>
            <w:r/>
          </w:p>
        </w:tc>
      </w:tr>
      <w:tr>
        <w:trPr>
          <w:jc w:val="center"/>
          <w:trHeight w:val="344"/>
        </w:trPr>
        <w:tc>
          <w:tcPr>
            <w:gridSpan w:val="2"/>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numPr>
                <w:ilvl w:val="0"/>
                <w:numId w:val="0"/>
              </w:numPr>
              <w:ind w:left="0" w:firstLine="0"/>
              <w:jc w:val="center"/>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奖项情况（16分）</w:t>
            </w:r>
            <w:r/>
          </w:p>
        </w:tc>
        <w:tc>
          <w:tcPr>
            <w:gridSpan w:val="2"/>
            <w:tcBorders>
              <w:top w:val="single" w:color="auto" w:sz="6" w:space="0"/>
              <w:left w:val="single" w:color="auto" w:sz="6" w:space="0"/>
              <w:bottom w:val="single" w:color="auto" w:sz="6" w:space="0"/>
              <w:right w:val="single" w:color="auto" w:sz="6" w:space="0"/>
            </w:tcBorders>
            <w:tcW w:w="7830" w:type="dxa"/>
            <w:vAlign w:val="center"/>
            <w:textDirection w:val="lrTb"/>
            <w:noWrap w:val="false"/>
          </w:tcPr>
          <w:p>
            <w:pPr>
              <w:numPr>
                <w:ilvl w:val="0"/>
                <w:numId w:val="0"/>
              </w:numPr>
              <w:ind w:left="0" w:firstLine="0"/>
              <w:keepLines w:val="0"/>
              <w:keepNext w:val="0"/>
              <w:pageBreakBefore w:val="0"/>
              <w:spacing w:line="24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eastAsia="zh-CN"/>
              </w:rPr>
              <w:t xml:space="preserve">投标人</w:t>
            </w:r>
            <w:r>
              <w:rPr>
                <w:rFonts w:hint="eastAsia" w:ascii="宋体" w:hAnsi="宋体" w:cs="宋体"/>
                <w:sz w:val="21"/>
                <w:szCs w:val="21"/>
                <w:highlight w:val="none"/>
                <w:lang w:val="en-US" w:eastAsia="zh-CN"/>
              </w:rPr>
              <w:t xml:space="preserve">2023年以来</w:t>
            </w:r>
            <w:r>
              <w:rPr>
                <w:rFonts w:hint="eastAsia" w:ascii="宋体" w:hAnsi="宋体" w:eastAsia="宋体" w:cs="宋体"/>
                <w:sz w:val="21"/>
                <w:szCs w:val="21"/>
                <w:highlight w:val="none"/>
                <w:lang w:val="zh-CN" w:eastAsia="zh-CN"/>
              </w:rPr>
              <w:t xml:space="preserve">获得行业主管部门或者行业协会颁发的</w:t>
            </w:r>
            <w:r>
              <w:rPr>
                <w:rFonts w:hint="eastAsia" w:ascii="宋体" w:hAnsi="宋体" w:cs="宋体"/>
                <w:sz w:val="21"/>
                <w:szCs w:val="21"/>
                <w:highlight w:val="none"/>
                <w:lang w:val="en-US" w:eastAsia="zh-CN"/>
              </w:rPr>
              <w:t xml:space="preserve">详细规划（含村庄规划）</w:t>
            </w:r>
            <w:r>
              <w:rPr>
                <w:rFonts w:hint="eastAsia" w:ascii="宋体" w:hAnsi="宋体" w:eastAsia="宋体" w:cs="宋体"/>
                <w:sz w:val="21"/>
                <w:szCs w:val="21"/>
                <w:highlight w:val="none"/>
                <w:lang w:val="zh-CN" w:eastAsia="zh-CN"/>
              </w:rPr>
              <w:t xml:space="preserve">相关奖项，国家级奖项每有一个得3分，省级奖项的每有一个得2分,地市级奖项的每有一个得1分。本项最高得</w:t>
            </w:r>
            <w:r>
              <w:rPr>
                <w:rFonts w:hint="eastAsia" w:ascii="宋体" w:hAnsi="宋体" w:cs="宋体"/>
                <w:sz w:val="21"/>
                <w:szCs w:val="21"/>
                <w:highlight w:val="none"/>
                <w:lang w:val="en-US" w:eastAsia="zh-CN"/>
              </w:rPr>
              <w:t xml:space="preserve">16</w:t>
            </w:r>
            <w:r>
              <w:rPr>
                <w:rFonts w:hint="eastAsia" w:ascii="宋体" w:hAnsi="宋体" w:eastAsia="宋体" w:cs="宋体"/>
                <w:sz w:val="21"/>
                <w:szCs w:val="21"/>
                <w:highlight w:val="none"/>
                <w:lang w:val="zh-CN" w:eastAsia="zh-CN"/>
              </w:rPr>
              <w:t xml:space="preserve">分。</w:t>
            </w:r>
            <w:r>
              <w:rPr>
                <w:rFonts w:hint="eastAsia" w:ascii="宋体" w:hAnsi="宋体" w:cs="宋体"/>
                <w:sz w:val="21"/>
                <w:szCs w:val="21"/>
                <w:highlight w:val="none"/>
                <w:lang w:val="zh-CN" w:eastAsia="zh-CN"/>
              </w:rPr>
              <w:t xml:space="preserve">（</w:t>
            </w:r>
            <w:r>
              <w:rPr>
                <w:rFonts w:hint="eastAsia" w:ascii="宋体" w:hAnsi="宋体" w:eastAsia="宋体" w:cs="宋体"/>
                <w:sz w:val="21"/>
                <w:szCs w:val="21"/>
                <w:highlight w:val="none"/>
                <w:lang w:val="zh-CN" w:eastAsia="zh-CN"/>
              </w:rPr>
              <w:t xml:space="preserve">注：须提供证书原件扫描件，否则不得分。</w:t>
            </w:r>
            <w:r>
              <w:rPr>
                <w:rFonts w:hint="eastAsia" w:ascii="宋体" w:hAnsi="宋体" w:cs="宋体"/>
                <w:sz w:val="21"/>
                <w:szCs w:val="21"/>
                <w:highlight w:val="none"/>
                <w:lang w:val="zh-CN" w:eastAsia="zh-CN"/>
              </w:rPr>
              <w:t xml:space="preserve">）</w:t>
            </w:r>
            <w:r/>
          </w:p>
        </w:tc>
        <w:tc>
          <w:tcPr>
            <w:tcBorders>
              <w:top w:val="single" w:color="auto" w:sz="6" w:space="0"/>
              <w:left w:val="single" w:color="auto" w:sz="6" w:space="0"/>
              <w:bottom w:val="single" w:color="auto" w:sz="6" w:space="0"/>
              <w:right w:val="single" w:color="auto" w:sz="6" w:space="0"/>
            </w:tcBorders>
            <w:tcW w:w="634" w:type="dxa"/>
            <w:vAlign w:val="center"/>
            <w:textDirection w:val="lrTb"/>
            <w:noWrap w:val="false"/>
          </w:tcPr>
          <w:p>
            <w:pPr>
              <w:jc w:val="center"/>
              <w:spacing w:line="400" w:lineRule="exact"/>
              <w:rPr>
                <w:rFonts w:hint="default" w:ascii="宋体" w:hAnsi="宋体" w:eastAsia="宋体" w:cs="宋体"/>
                <w:sz w:val="21"/>
                <w:szCs w:val="21"/>
                <w:highlight w:val="none"/>
                <w:lang w:val="en-US" w:eastAsia="zh-CN"/>
              </w:rPr>
            </w:pPr>
            <w:r>
              <w:rPr>
                <w:rFonts w:hint="eastAsia" w:ascii="宋体" w:hAnsi="宋体" w:cs="宋体"/>
                <w:szCs w:val="21"/>
                <w:highlight w:val="none"/>
                <w:lang w:val="en-US" w:eastAsia="zh-CN"/>
              </w:rPr>
              <w:t xml:space="preserve">16</w:t>
            </w:r>
            <w:r/>
          </w:p>
        </w:tc>
      </w:tr>
      <w:tr>
        <w:trPr>
          <w:jc w:val="center"/>
          <w:trHeight w:val="1379"/>
        </w:trPr>
        <w:tc>
          <w:tcPr>
            <w:gridSpan w:val="5"/>
            <w:tcBorders>
              <w:top w:val="single" w:color="auto" w:sz="6" w:space="0"/>
              <w:left w:val="single" w:color="auto" w:sz="6" w:space="0"/>
              <w:bottom w:val="single" w:color="auto" w:sz="6" w:space="0"/>
              <w:right w:val="single" w:color="auto" w:sz="6" w:space="0"/>
            </w:tcBorders>
            <w:tcW w:w="9198" w:type="dxa"/>
            <w:vAlign w:val="center"/>
            <w:textDirection w:val="lrTb"/>
            <w:noWrap w:val="false"/>
          </w:tcPr>
          <w:p>
            <w:pPr>
              <w:numPr>
                <w:ilvl w:val="0"/>
                <w:numId w:val="0"/>
              </w:numPr>
              <w:keepLines w:val="0"/>
              <w:keepNext w:val="0"/>
              <w:pageBreakBefore w:val="0"/>
              <w:spacing w:line="240" w:lineRule="auto"/>
              <w:widowControl w:val="off"/>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 xml:space="preserve">注：1.上述所有荣誉证书、资格证书、获奖证书或证明性文件等，供应商须确保真实有效，有据可查；</w:t>
            </w:r>
            <w:r/>
          </w:p>
          <w:p>
            <w:pPr>
              <w:numPr>
                <w:ilvl w:val="0"/>
                <w:numId w:val="0"/>
              </w:numPr>
              <w:keepLines w:val="0"/>
              <w:keepNext w:val="0"/>
              <w:pageBreakBefore w:val="0"/>
              <w:spacing w:line="240" w:lineRule="auto"/>
              <w:widowControl w:val="off"/>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 xml:space="preserve">2.签订合同前，采购人有权对中标人相关原件进行核查，如发现提供虚假材料，一切后果由供应商承担。</w:t>
            </w:r>
            <w:r/>
          </w:p>
          <w:p>
            <w:pPr>
              <w:keepLines w:val="0"/>
              <w:keepNext w:val="0"/>
              <w:pageBreakBefore w:val="0"/>
              <w:spacing w:line="240" w:lineRule="auto"/>
              <w:widowControl w:val="off"/>
              <w:rPr>
                <w:rFonts w:hint="default" w:ascii="宋体" w:hAnsi="宋体" w:eastAsia="宋体" w:cs="宋体"/>
                <w:sz w:val="21"/>
                <w:szCs w:val="21"/>
                <w:lang w:val="en-US" w:eastAsia="zh-CN"/>
              </w:rPr>
            </w:pPr>
            <w:r>
              <w:rPr>
                <w:rFonts w:hint="eastAsia" w:ascii="宋体" w:hAnsi="宋体" w:cs="宋体"/>
                <w:b/>
                <w:bCs/>
                <w:sz w:val="21"/>
                <w:szCs w:val="21"/>
                <w:highlight w:val="none"/>
                <w:lang w:val="en-US" w:eastAsia="zh-CN"/>
              </w:rPr>
              <w:t xml:space="preserve">3.供应商投标文件中配备的人员须与合同签订时人员一致，如特殊情况需要更换，必须经采购人同意。如发现不一致可作为虚假材料，一切后果由供应商承担。</w:t>
            </w:r>
            <w:r/>
          </w:p>
        </w:tc>
      </w:tr>
    </w:tbl>
    <w:p>
      <w:pPr>
        <w:jc w:val="left"/>
        <w:spacing w:line="500" w:lineRule="exact"/>
        <w:rPr>
          <w:rFonts w:hint="eastAsia" w:ascii="黑体" w:hAnsi="黑体" w:eastAsia="黑体"/>
          <w:sz w:val="32"/>
          <w:szCs w:val="32"/>
        </w:rPr>
      </w:pPr>
      <w:r/>
      <w:bookmarkStart w:id="239" w:name="_Toc426469921"/>
      <w:r>
        <w:rPr>
          <w:rFonts w:hint="eastAsia" w:ascii="黑体" w:hAnsi="黑体" w:eastAsia="黑体"/>
          <w:sz w:val="32"/>
          <w:szCs w:val="32"/>
          <w:lang w:val="zh-CN"/>
        </w:rPr>
        <w:t xml:space="preserve">1.资格审查</w:t>
      </w:r>
      <w:r/>
    </w:p>
    <w:p>
      <w:pPr>
        <w:pStyle w:val="650"/>
        <w:spacing w:line="500" w:lineRule="exact"/>
        <w:rPr>
          <w:rFonts w:ascii="Arial" w:hAnsi="Arial" w:eastAsia="Arial"/>
          <w:sz w:val="28"/>
          <w:szCs w:val="28"/>
        </w:rPr>
      </w:pPr>
      <w:r>
        <w:rPr>
          <w:rFonts w:hint="eastAsia" w:ascii="Arial" w:hAnsi="Arial" w:eastAsia="Arial"/>
          <w:sz w:val="28"/>
          <w:szCs w:val="28"/>
        </w:rPr>
        <w:t xml:space="preserve">1.1项目开标结束后，招标人对投标人的资格进行审查。</w:t>
      </w:r>
      <w:r/>
    </w:p>
    <w:p>
      <w:pPr>
        <w:pStyle w:val="650"/>
        <w:spacing w:line="500" w:lineRule="exact"/>
        <w:rPr>
          <w:rFonts w:ascii="Arial" w:hAnsi="Arial" w:eastAsia="Arial"/>
          <w:sz w:val="28"/>
          <w:szCs w:val="28"/>
        </w:rPr>
      </w:pPr>
      <w:r>
        <w:rPr>
          <w:rFonts w:hint="eastAsia" w:ascii="Arial" w:hAnsi="Arial" w:eastAsia="Arial"/>
          <w:sz w:val="28"/>
          <w:szCs w:val="28"/>
        </w:rPr>
        <w:t xml:space="preserve">1.2资格审查的内容和标准：见资格审查和评标办法前附表。</w:t>
      </w:r>
      <w:r/>
    </w:p>
    <w:p>
      <w:pPr>
        <w:jc w:val="left"/>
        <w:spacing w:line="500" w:lineRule="exact"/>
        <w:rPr>
          <w:rFonts w:ascii="黑体" w:hAnsi="黑体" w:eastAsia="黑体"/>
          <w:sz w:val="32"/>
          <w:szCs w:val="32"/>
        </w:rPr>
      </w:pPr>
      <w:r>
        <w:rPr>
          <w:rFonts w:hint="eastAsia" w:ascii="黑体" w:hAnsi="黑体" w:eastAsia="黑体"/>
          <w:sz w:val="32"/>
          <w:szCs w:val="32"/>
        </w:rPr>
        <w:t xml:space="preserve">2</w:t>
      </w:r>
      <w:r>
        <w:rPr>
          <w:rFonts w:ascii="黑体" w:hAnsi="黑体" w:eastAsia="黑体"/>
          <w:sz w:val="32"/>
          <w:szCs w:val="32"/>
        </w:rPr>
        <w:t xml:space="preserve">.</w:t>
      </w:r>
      <w:r>
        <w:rPr>
          <w:rFonts w:hint="eastAsia" w:ascii="黑体" w:hAnsi="黑体" w:eastAsia="黑体"/>
          <w:sz w:val="32"/>
          <w:szCs w:val="32"/>
        </w:rPr>
        <w:t xml:space="preserve">评标</w:t>
      </w:r>
      <w:bookmarkEnd w:id="239"/>
      <w:r/>
      <w:r/>
    </w:p>
    <w:p>
      <w:pPr>
        <w:spacing w:line="500" w:lineRule="exact"/>
        <w:rPr>
          <w:rFonts w:ascii="楷体" w:hAnsi="楷体" w:eastAsia="楷体"/>
          <w:b/>
          <w:sz w:val="28"/>
          <w:szCs w:val="28"/>
        </w:rPr>
      </w:pPr>
      <w:r>
        <w:rPr>
          <w:rFonts w:hint="eastAsia" w:ascii="楷体" w:hAnsi="楷体" w:eastAsia="楷体"/>
          <w:b/>
          <w:sz w:val="28"/>
          <w:szCs w:val="28"/>
        </w:rPr>
        <w:t xml:space="preserve">2.1评标方法</w:t>
      </w:r>
      <w:r/>
    </w:p>
    <w:p>
      <w:pPr>
        <w:ind w:firstLine="560"/>
        <w:spacing w:line="500" w:lineRule="exact"/>
        <w:rPr>
          <w:sz w:val="28"/>
          <w:szCs w:val="28"/>
        </w:rPr>
      </w:pPr>
      <w:r>
        <w:rPr>
          <w:rFonts w:hint="eastAsia"/>
          <w:sz w:val="28"/>
          <w:szCs w:val="28"/>
        </w:rPr>
        <w:t xml:space="preserve">评标采用综合评分法，评标委员会对满足招标文件实质要求的投标文件，按照本章规定的程序和方法进行评审，并按总得分由高到低顺序推荐中标候选人。</w:t>
      </w:r>
      <w:r/>
    </w:p>
    <w:p>
      <w:pPr>
        <w:spacing w:line="500" w:lineRule="exact"/>
        <w:rPr>
          <w:rFonts w:ascii="楷体" w:hAnsi="楷体" w:eastAsia="楷体"/>
          <w:b/>
          <w:sz w:val="28"/>
          <w:szCs w:val="28"/>
        </w:rPr>
      </w:pPr>
      <w:r>
        <w:rPr>
          <w:rFonts w:hint="eastAsia" w:ascii="楷体" w:hAnsi="楷体" w:eastAsia="楷体"/>
          <w:b/>
          <w:sz w:val="28"/>
          <w:szCs w:val="28"/>
        </w:rPr>
        <w:t xml:space="preserve">2.2初步评审</w:t>
      </w:r>
      <w:r/>
    </w:p>
    <w:p>
      <w:pPr>
        <w:ind w:firstLine="560"/>
        <w:spacing w:line="500" w:lineRule="exact"/>
        <w:rPr>
          <w:rFonts w:ascii="宋体" w:hAnsi="宋体"/>
          <w:sz w:val="28"/>
          <w:szCs w:val="28"/>
        </w:rPr>
      </w:pPr>
      <w:r>
        <w:rPr>
          <w:rFonts w:hint="eastAsia" w:ascii="宋体" w:hAnsi="宋体"/>
          <w:sz w:val="28"/>
          <w:szCs w:val="28"/>
        </w:rPr>
        <w:t xml:space="preserve">2.2.1评标委员会对通过资格审查的投标人进行初步评审。</w:t>
      </w:r>
      <w:r/>
    </w:p>
    <w:p>
      <w:pPr>
        <w:pStyle w:val="650"/>
        <w:ind w:firstLine="560"/>
        <w:spacing w:line="500" w:lineRule="exact"/>
        <w:rPr>
          <w:rFonts w:ascii="宋体" w:hAnsi="宋体"/>
          <w:sz w:val="28"/>
          <w:szCs w:val="28"/>
        </w:rPr>
      </w:pPr>
      <w:r>
        <w:rPr>
          <w:rFonts w:hint="eastAsia" w:ascii="Arial" w:hAnsi="Arial" w:eastAsia="Arial"/>
          <w:sz w:val="28"/>
          <w:szCs w:val="28"/>
        </w:rPr>
        <w:t xml:space="preserve">2.2.2初步评审的内容为投标文件的符合性评审。</w:t>
      </w:r>
      <w:r>
        <w:rPr>
          <w:rFonts w:hint="eastAsia" w:ascii="宋体" w:hAnsi="宋体"/>
          <w:sz w:val="28"/>
          <w:szCs w:val="28"/>
        </w:rPr>
        <w:t xml:space="preserve">符合性评审的内容及标准：见</w:t>
      </w:r>
      <w:r>
        <w:rPr>
          <w:rFonts w:hint="eastAsia" w:ascii="Arial" w:hAnsi="Arial" w:eastAsia="Arial"/>
          <w:sz w:val="28"/>
          <w:szCs w:val="28"/>
        </w:rPr>
        <w:t xml:space="preserve">资格审查和评标办法</w:t>
      </w:r>
      <w:r>
        <w:rPr>
          <w:rFonts w:hint="eastAsia" w:ascii="宋体" w:hAnsi="宋体"/>
          <w:sz w:val="28"/>
          <w:szCs w:val="28"/>
        </w:rPr>
        <w:t xml:space="preserve">前附表。</w:t>
      </w:r>
      <w:r/>
    </w:p>
    <w:p>
      <w:pPr>
        <w:pStyle w:val="650"/>
        <w:spacing w:line="500" w:lineRule="exact"/>
        <w:rPr>
          <w:rFonts w:ascii="楷体" w:hAnsi="楷体" w:eastAsia="楷体"/>
          <w:b/>
          <w:sz w:val="28"/>
          <w:szCs w:val="28"/>
        </w:rPr>
      </w:pPr>
      <w:r>
        <w:rPr>
          <w:rFonts w:hint="eastAsia" w:ascii="楷体" w:hAnsi="楷体" w:eastAsia="楷体"/>
          <w:b/>
          <w:sz w:val="28"/>
          <w:szCs w:val="28"/>
        </w:rPr>
        <w:t xml:space="preserve">2.3详细评审</w:t>
      </w:r>
      <w:r/>
    </w:p>
    <w:p>
      <w:pPr>
        <w:pStyle w:val="650"/>
        <w:ind w:firstLine="560"/>
        <w:spacing w:line="500" w:lineRule="exact"/>
        <w:rPr>
          <w:rFonts w:ascii="宋体" w:hAnsi="宋体"/>
          <w:sz w:val="28"/>
          <w:szCs w:val="28"/>
        </w:rPr>
      </w:pPr>
      <w:r>
        <w:rPr>
          <w:rFonts w:hint="eastAsia" w:ascii="宋体" w:hAnsi="宋体"/>
          <w:sz w:val="28"/>
          <w:szCs w:val="28"/>
        </w:rPr>
        <w:t xml:space="preserve">2.3.1评标委员会对通过初步评审的投标人进行详细评审。</w:t>
      </w:r>
      <w:r/>
    </w:p>
    <w:p>
      <w:pPr>
        <w:pStyle w:val="650"/>
        <w:ind w:firstLine="560"/>
        <w:spacing w:line="500" w:lineRule="exact"/>
        <w:rPr>
          <w:rFonts w:ascii="宋体" w:hAnsi="宋体"/>
          <w:sz w:val="28"/>
          <w:szCs w:val="28"/>
        </w:rPr>
      </w:pPr>
      <w:r>
        <w:rPr>
          <w:rFonts w:hint="eastAsia" w:ascii="宋体" w:hAnsi="宋体"/>
          <w:sz w:val="28"/>
          <w:szCs w:val="28"/>
        </w:rPr>
        <w:t xml:space="preserve">2.3.2详细评审的内容及标准：见</w:t>
      </w:r>
      <w:r>
        <w:rPr>
          <w:rFonts w:hint="eastAsia" w:ascii="Arial" w:hAnsi="Arial" w:eastAsia="Arial"/>
          <w:sz w:val="28"/>
          <w:szCs w:val="28"/>
        </w:rPr>
        <w:t xml:space="preserve">资格审查和评标办法</w:t>
      </w:r>
      <w:r>
        <w:rPr>
          <w:rFonts w:hint="eastAsia" w:ascii="宋体" w:hAnsi="宋体"/>
          <w:sz w:val="28"/>
          <w:szCs w:val="28"/>
        </w:rPr>
        <w:t xml:space="preserve">前附表。</w:t>
      </w:r>
      <w:r/>
    </w:p>
    <w:p>
      <w:pPr>
        <w:pStyle w:val="650"/>
        <w:ind w:firstLine="560"/>
        <w:spacing w:line="500" w:lineRule="exact"/>
        <w:rPr>
          <w:rFonts w:ascii="宋体" w:hAnsi="宋体"/>
          <w:sz w:val="28"/>
          <w:szCs w:val="28"/>
        </w:rPr>
      </w:pPr>
      <w:r>
        <w:rPr>
          <w:rFonts w:hint="eastAsia" w:ascii="宋体" w:hAnsi="宋体"/>
          <w:sz w:val="28"/>
          <w:szCs w:val="28"/>
        </w:rPr>
        <w:t xml:space="preserve">2.3.3因落实政府采购政策进行价格调整的，以调整后的价格计算评标基准价和投标报价。</w:t>
      </w:r>
      <w:r/>
    </w:p>
    <w:p>
      <w:pPr>
        <w:spacing w:line="500" w:lineRule="exact"/>
        <w:rPr>
          <w:rFonts w:ascii="楷体" w:hAnsi="楷体" w:eastAsia="楷体"/>
          <w:b/>
          <w:sz w:val="28"/>
          <w:szCs w:val="28"/>
        </w:rPr>
      </w:pPr>
      <w:r/>
      <w:bookmarkStart w:id="240" w:name="_Toc426469924"/>
      <w:r>
        <w:rPr>
          <w:rFonts w:hint="eastAsia" w:ascii="楷体" w:hAnsi="楷体" w:eastAsia="楷体"/>
          <w:b/>
          <w:sz w:val="28"/>
          <w:szCs w:val="28"/>
        </w:rPr>
        <w:t xml:space="preserve">2.4</w:t>
      </w:r>
      <w:r>
        <w:rPr>
          <w:rFonts w:hint="eastAsia" w:ascii="楷体" w:hAnsi="楷体" w:eastAsia="楷体" w:cs="宋体"/>
          <w:b/>
          <w:sz w:val="28"/>
          <w:szCs w:val="28"/>
        </w:rPr>
        <w:t xml:space="preserve">评标报告</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4</w:t>
      </w:r>
      <w:r>
        <w:rPr>
          <w:rFonts w:ascii="宋体" w:hAnsi="宋体"/>
          <w:sz w:val="28"/>
          <w:szCs w:val="28"/>
        </w:rPr>
        <w:t xml:space="preserve">.1详细评审结束后，</w:t>
      </w:r>
      <w:r>
        <w:rPr>
          <w:rFonts w:hint="eastAsia" w:ascii="宋体" w:hAnsi="宋体"/>
          <w:sz w:val="28"/>
          <w:szCs w:val="28"/>
        </w:rPr>
        <w:t xml:space="preserve">评标委员会负责编写评标报告。</w:t>
      </w:r>
      <w:r/>
    </w:p>
    <w:p>
      <w:pPr>
        <w:pStyle w:val="650"/>
        <w:ind w:firstLine="560"/>
        <w:spacing w:line="500" w:lineRule="exact"/>
        <w:rPr>
          <w:rFonts w:ascii="Arial" w:hAnsi="Arial" w:eastAsia="Arial"/>
          <w:sz w:val="28"/>
          <w:szCs w:val="28"/>
        </w:rPr>
      </w:pPr>
      <w:r>
        <w:rPr>
          <w:rFonts w:hint="eastAsia" w:ascii="Arial" w:hAnsi="Arial" w:eastAsia="Arial"/>
          <w:sz w:val="28"/>
          <w:szCs w:val="28"/>
        </w:rPr>
        <w:t xml:space="preserve">2.4.2采购代理机构自评审结束之日起2个工作日内将评标报告送交招标人。</w:t>
      </w:r>
      <w:r/>
    </w:p>
    <w:p>
      <w:pPr>
        <w:spacing w:line="500" w:lineRule="exact"/>
        <w:rPr>
          <w:rFonts w:ascii="楷体" w:hAnsi="楷体" w:eastAsia="楷体"/>
          <w:b/>
          <w:sz w:val="28"/>
          <w:szCs w:val="28"/>
        </w:rPr>
      </w:pPr>
      <w:r>
        <w:rPr>
          <w:rFonts w:hint="eastAsia" w:ascii="楷体" w:hAnsi="楷体" w:eastAsia="楷体"/>
          <w:b/>
          <w:sz w:val="28"/>
          <w:szCs w:val="28"/>
        </w:rPr>
        <w:t xml:space="preserve">2.5</w:t>
      </w:r>
      <w:r>
        <w:rPr>
          <w:rFonts w:hint="eastAsia" w:ascii="楷体" w:hAnsi="楷体" w:eastAsia="楷体" w:cs="宋体"/>
          <w:b/>
          <w:sz w:val="28"/>
          <w:szCs w:val="28"/>
        </w:rPr>
        <w:t xml:space="preserve">澄清、说明或补正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.1</w:t>
      </w:r>
      <w:r>
        <w:rPr>
          <w:rFonts w:hint="eastAsia" w:ascii="宋体" w:hAnsi="宋体"/>
          <w:sz w:val="28"/>
          <w:szCs w:val="28"/>
        </w:rPr>
        <w:t xml:space="preserve">评标委员会在评审过程中，可以要求投标人对投标文件中含义不明确、同类问题表述不一致或者有明显文字和计算错误的内容等作出必要的澄清、说明或者更正。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.2</w:t>
      </w:r>
      <w:r>
        <w:rPr>
          <w:rFonts w:hint="eastAsia" w:ascii="宋体" w:hAnsi="宋体"/>
          <w:sz w:val="28"/>
          <w:szCs w:val="28"/>
        </w:rPr>
        <w:t xml:space="preserve">评标委员会要求投标人澄清、说明或者更正投标文件应当以书面形式作出。</w:t>
      </w:r>
      <w:r/>
    </w:p>
    <w:p>
      <w:pPr>
        <w:ind w:firstLine="560"/>
        <w:spacing w:line="500" w:lineRule="exact"/>
        <w:rPr>
          <w:rFonts w:ascii="宋体"/>
          <w:sz w:val="28"/>
          <w:szCs w:val="28"/>
        </w:rPr>
      </w:pPr>
      <w:r>
        <w:rPr>
          <w:rFonts w:hint="eastAsia" w:ascii="宋体" w:hAnsi="宋体"/>
          <w:sz w:val="28"/>
          <w:szCs w:val="28"/>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spacing w:line="500" w:lineRule="exact"/>
        <w:rPr>
          <w:rFonts w:ascii="宋体" w:hAnsi="宋体"/>
          <w:sz w:val="28"/>
          <w:szCs w:val="28"/>
        </w:rPr>
      </w:pPr>
      <w:r>
        <w:rPr>
          <w:rFonts w:hint="eastAsia" w:ascii="宋体" w:hAnsi="宋体"/>
          <w:sz w:val="28"/>
          <w:szCs w:val="28"/>
        </w:rPr>
        <w:t xml:space="preserve">2.5.4投标人的澄清、说明或者更正不得超出投标文件的范围或者改变投标文件的实质性内容。</w:t>
      </w:r>
      <w:r/>
    </w:p>
    <w:p>
      <w:pPr>
        <w:ind w:firstLine="560"/>
        <w:spacing w:line="500" w:lineRule="exact"/>
        <w:rPr>
          <w:rFonts w:asci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w:t>
      </w:r>
      <w:r>
        <w:rPr>
          <w:rFonts w:hint="eastAsia" w:ascii="宋体" w:hAnsi="宋体"/>
          <w:sz w:val="28"/>
          <w:szCs w:val="28"/>
        </w:rPr>
        <w:t xml:space="preserve">5评标委员会不得接受投标人主动提出的澄清、说明或补正。</w:t>
      </w:r>
      <w:r/>
    </w:p>
    <w:p>
      <w:pPr>
        <w:spacing w:line="500" w:lineRule="exact"/>
        <w:rPr>
          <w:rFonts w:ascii="黑体" w:hAnsi="黑体" w:eastAsia="黑体"/>
          <w:b/>
          <w:sz w:val="28"/>
          <w:szCs w:val="28"/>
        </w:rPr>
      </w:pPr>
      <w:r>
        <w:rPr>
          <w:rFonts w:hint="eastAsia" w:ascii="黑体" w:hAnsi="黑体" w:eastAsia="黑体"/>
          <w:b/>
          <w:sz w:val="28"/>
          <w:szCs w:val="28"/>
        </w:rPr>
        <w:t xml:space="preserve">3.评标过程中特殊情况的处理规定</w:t>
      </w:r>
      <w:r/>
    </w:p>
    <w:p>
      <w:pPr>
        <w:pStyle w:val="650"/>
        <w:spacing w:line="500" w:lineRule="exact"/>
        <w:rPr>
          <w:rFonts w:ascii="楷体" w:hAnsi="楷体" w:eastAsia="楷体"/>
          <w:b/>
          <w:sz w:val="28"/>
          <w:szCs w:val="28"/>
        </w:rPr>
      </w:pPr>
      <w:r>
        <w:rPr>
          <w:rFonts w:hint="eastAsia" w:ascii="楷体" w:hAnsi="楷体" w:eastAsia="楷体"/>
          <w:b/>
          <w:sz w:val="28"/>
          <w:szCs w:val="28"/>
        </w:rPr>
        <w:t xml:space="preserve">3.1投标报价的修正</w:t>
      </w:r>
      <w:r/>
    </w:p>
    <w:p>
      <w:pPr>
        <w:pStyle w:val="650"/>
        <w:ind w:firstLine="560"/>
        <w:spacing w:line="500" w:lineRule="exact"/>
        <w:rPr>
          <w:rFonts w:ascii="Arial" w:hAnsi="Arial" w:eastAsia="Arial"/>
          <w:sz w:val="28"/>
          <w:szCs w:val="28"/>
        </w:rPr>
      </w:pPr>
      <w:r>
        <w:rPr>
          <w:rFonts w:hint="eastAsia" w:ascii="Arial" w:hAnsi="Arial" w:eastAsia="Arial"/>
          <w:sz w:val="28"/>
          <w:szCs w:val="28"/>
        </w:rPr>
        <w:t xml:space="preserve">投标文件报价出现前后不一致的，按照下列规定修正： </w:t>
      </w:r>
      <w:r/>
    </w:p>
    <w:p>
      <w:pPr>
        <w:pStyle w:val="650"/>
        <w:ind w:firstLine="280"/>
        <w:spacing w:line="440" w:lineRule="exact"/>
        <w:rPr>
          <w:rFonts w:ascii="Arial" w:hAnsi="Arial" w:eastAsia="Arial"/>
          <w:sz w:val="28"/>
          <w:szCs w:val="28"/>
        </w:rPr>
      </w:pPr>
      <w:r>
        <w:rPr>
          <w:rFonts w:hint="eastAsia" w:ascii="Arial" w:hAnsi="Arial" w:eastAsia="Arial"/>
          <w:sz w:val="28"/>
          <w:szCs w:val="28"/>
        </w:rPr>
        <w:t xml:space="preserve">（1）投标文件中开标一览表内容与投标文件中相应内容不一致的，以开标一览表为准； </w:t>
      </w:r>
      <w:r/>
    </w:p>
    <w:p>
      <w:pPr>
        <w:pStyle w:val="650"/>
        <w:ind w:firstLine="280"/>
        <w:spacing w:line="440" w:lineRule="exact"/>
        <w:rPr>
          <w:rFonts w:ascii="Arial" w:hAnsi="Arial" w:eastAsia="Arial"/>
          <w:sz w:val="28"/>
          <w:szCs w:val="28"/>
        </w:rPr>
      </w:pPr>
      <w:r>
        <w:rPr>
          <w:rFonts w:hint="eastAsia" w:ascii="Arial" w:hAnsi="Arial" w:eastAsia="Arial"/>
          <w:sz w:val="28"/>
          <w:szCs w:val="28"/>
        </w:rPr>
        <w:t xml:space="preserve">（2）大写金额和小写金额不一致的，以大写金额为准； </w:t>
      </w:r>
      <w:r/>
    </w:p>
    <w:p>
      <w:pPr>
        <w:pStyle w:val="650"/>
        <w:ind w:firstLine="280"/>
        <w:spacing w:line="440" w:lineRule="exact"/>
        <w:rPr>
          <w:rFonts w:ascii="Arial" w:hAnsi="Arial" w:eastAsia="Arial"/>
          <w:sz w:val="28"/>
          <w:szCs w:val="28"/>
        </w:rPr>
      </w:pPr>
      <w:r>
        <w:rPr>
          <w:rFonts w:hint="eastAsia" w:ascii="Arial" w:hAnsi="Arial" w:eastAsia="Arial"/>
          <w:sz w:val="28"/>
          <w:szCs w:val="28"/>
        </w:rPr>
        <w:t xml:space="preserve">（3）单价金额小数点或者百分比有明显错位的，以开标一览表的总价为准，并修改单价； </w:t>
      </w:r>
      <w:r/>
    </w:p>
    <w:p>
      <w:pPr>
        <w:pStyle w:val="650"/>
        <w:ind w:firstLine="280"/>
        <w:spacing w:line="440" w:lineRule="exact"/>
        <w:rPr>
          <w:rFonts w:ascii="Arial" w:hAnsi="Arial" w:eastAsia="Arial"/>
          <w:sz w:val="28"/>
          <w:szCs w:val="28"/>
        </w:rPr>
      </w:pPr>
      <w:r>
        <w:rPr>
          <w:rFonts w:hint="eastAsia" w:ascii="Arial" w:hAnsi="Arial" w:eastAsia="Arial"/>
          <w:sz w:val="28"/>
          <w:szCs w:val="28"/>
        </w:rPr>
        <w:t xml:space="preserve">（4）总价金额与按单价汇总金额不一致的，以单价金额计算结果为准。 </w:t>
      </w:r>
      <w:r/>
    </w:p>
    <w:p>
      <w:pPr>
        <w:pStyle w:val="650"/>
        <w:ind w:firstLine="560"/>
        <w:spacing w:line="440" w:lineRule="exact"/>
        <w:rPr>
          <w:rFonts w:ascii="Arial" w:hAnsi="Arial" w:eastAsia="Arial"/>
          <w:sz w:val="28"/>
          <w:szCs w:val="28"/>
        </w:rPr>
      </w:pPr>
      <w:r>
        <w:rPr>
          <w:rFonts w:hint="eastAsia" w:ascii="Arial" w:hAnsi="Arial" w:eastAsia="Arial"/>
          <w:sz w:val="28"/>
          <w:szCs w:val="28"/>
        </w:rPr>
        <w:t xml:space="preserve">同时出现两种以上不一致的，按照前款规定的顺序修正。修正后的报价按照本章第2.5条的规定经投标人确认后产生约束力，投标人不确认的，其投标无效。</w:t>
      </w:r>
      <w:r/>
    </w:p>
    <w:p>
      <w:pPr>
        <w:pStyle w:val="650"/>
        <w:spacing w:line="500" w:lineRule="exact"/>
        <w:rPr>
          <w:rFonts w:ascii="楷体" w:hAnsi="楷体" w:eastAsia="楷体"/>
          <w:b/>
          <w:sz w:val="28"/>
          <w:szCs w:val="28"/>
        </w:rPr>
      </w:pPr>
      <w:r>
        <w:rPr>
          <w:rFonts w:hint="eastAsia" w:ascii="楷体" w:hAnsi="楷体" w:eastAsia="楷体"/>
          <w:b/>
          <w:sz w:val="28"/>
          <w:szCs w:val="28"/>
        </w:rPr>
        <w:t xml:space="preserve">3.2评标委员会成员的更换</w:t>
      </w:r>
      <w:r/>
    </w:p>
    <w:p>
      <w:pPr>
        <w:pStyle w:val="650"/>
        <w:ind w:firstLine="560"/>
        <w:spacing w:line="500" w:lineRule="exact"/>
        <w:rPr>
          <w:rFonts w:ascii="Arial" w:hAnsi="Arial" w:eastAsia="Arial"/>
          <w:sz w:val="28"/>
          <w:szCs w:val="28"/>
        </w:rPr>
      </w:pPr>
      <w:r>
        <w:rPr>
          <w:rFonts w:hint="eastAsia" w:ascii="Arial" w:hAnsi="Arial" w:eastAsia="Arial"/>
          <w:sz w:val="28"/>
          <w:szCs w:val="28"/>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650"/>
        <w:ind w:firstLine="560"/>
        <w:spacing w:line="500" w:lineRule="exact"/>
        <w:rPr>
          <w:rFonts w:ascii="Arial" w:hAnsi="Arial" w:eastAsia="Arial"/>
          <w:sz w:val="28"/>
          <w:szCs w:val="28"/>
        </w:rPr>
      </w:pPr>
      <w:r>
        <w:rPr>
          <w:rFonts w:hint="eastAsia" w:ascii="Arial" w:hAnsi="Arial" w:eastAsia="Arial"/>
          <w:sz w:val="28"/>
          <w:szCs w:val="28"/>
        </w:rPr>
        <w:t xml:space="preserve">3.2.2无法及时补足评标委员会成员的，招标人将停止评标活动，封存所有投标文件和开标、评标资料，依法重新组建评标委员会进行评标。原评标委员会所作出的评标意见无效。</w:t>
      </w:r>
      <w:r/>
    </w:p>
    <w:p>
      <w:pPr>
        <w:pStyle w:val="650"/>
        <w:spacing w:line="500" w:lineRule="exact"/>
        <w:rPr>
          <w:rFonts w:hint="eastAsia" w:ascii="楷体" w:hAnsi="楷体" w:eastAsia="楷体"/>
          <w:b/>
          <w:sz w:val="28"/>
          <w:szCs w:val="28"/>
          <w:lang w:val="en-US" w:eastAsia="zh-CN"/>
        </w:rPr>
      </w:pPr>
      <w:r>
        <w:rPr>
          <w:rFonts w:hint="eastAsia" w:ascii="楷体" w:hAnsi="楷体" w:eastAsia="楷体"/>
          <w:b/>
          <w:sz w:val="28"/>
          <w:szCs w:val="28"/>
        </w:rPr>
        <w:t xml:space="preserve">3.</w:t>
      </w:r>
      <w:r>
        <w:rPr>
          <w:rFonts w:hint="eastAsia" w:ascii="楷体" w:hAnsi="楷体" w:eastAsia="楷体"/>
          <w:b/>
          <w:sz w:val="28"/>
          <w:szCs w:val="28"/>
          <w:lang w:val="en-US" w:eastAsia="zh-CN"/>
        </w:rPr>
        <w:t xml:space="preserve">3异常低价审查</w:t>
      </w:r>
      <w:r/>
    </w:p>
    <w:p>
      <w:pPr>
        <w:ind w:firstLine="560"/>
        <w:spacing w:line="500" w:lineRule="exact"/>
        <w:rPr>
          <w:rFonts w:hint="eastAsia"/>
          <w:sz w:val="28"/>
          <w:szCs w:val="28"/>
          <w:lang w:val="en-US" w:eastAsia="zh-CN"/>
        </w:rPr>
      </w:pPr>
      <w:r>
        <w:rPr>
          <w:rFonts w:hint="eastAsia"/>
          <w:sz w:val="28"/>
          <w:szCs w:val="28"/>
          <w:lang w:val="en-US" w:eastAsia="zh-CN"/>
        </w:rPr>
        <w:t xml:space="preserve">（1）评审过程中出现下列情形之一的，评审委员会应当启动异常低价投标（响应）审查程序： </w:t>
      </w:r>
      <w:r/>
    </w:p>
    <w:p>
      <w:pPr>
        <w:ind w:firstLine="560"/>
        <w:spacing w:line="500" w:lineRule="exact"/>
        <w:rPr>
          <w:rFonts w:hint="eastAsia"/>
          <w:sz w:val="28"/>
          <w:szCs w:val="28"/>
          <w:lang w:val="en-US" w:eastAsia="zh-CN"/>
        </w:rPr>
      </w:pPr>
      <w:r>
        <w:rPr>
          <w:rFonts w:hint="eastAsia"/>
          <w:sz w:val="28"/>
          <w:szCs w:val="28"/>
          <w:lang w:val="en-US" w:eastAsia="zh-CN"/>
        </w:rPr>
        <w:t xml:space="preserve">①投标（响应）报价低于采购项目预算50%的，即投标（响应）报价&lt;采购项目预算×50% ； </w:t>
      </w:r>
      <w:r/>
    </w:p>
    <w:p>
      <w:pPr>
        <w:ind w:firstLine="560"/>
        <w:spacing w:line="500" w:lineRule="exact"/>
        <w:rPr>
          <w:sz w:val="28"/>
          <w:szCs w:val="28"/>
        </w:rPr>
      </w:pPr>
      <w:r>
        <w:rPr>
          <w:rFonts w:hint="eastAsia"/>
          <w:sz w:val="28"/>
          <w:szCs w:val="28"/>
        </w:rPr>
        <w:t xml:space="preserve">②投标（响应）报价低于采购项目最高限价45%的，即投标（响应）报价&lt;采购项目最高限价×45% ； </w:t>
      </w:r>
      <w:r/>
    </w:p>
    <w:p>
      <w:pPr>
        <w:ind w:firstLine="560"/>
        <w:spacing w:line="500" w:lineRule="exact"/>
        <w:rPr>
          <w:sz w:val="28"/>
          <w:szCs w:val="28"/>
        </w:rPr>
      </w:pPr>
      <w:r>
        <w:rPr>
          <w:rFonts w:hint="eastAsia"/>
          <w:sz w:val="28"/>
          <w:szCs w:val="28"/>
        </w:rPr>
        <w:t xml:space="preserve">③评审委员会认定的供应商报价过低、有可能影响产品质量或者不能诚信履约的其他情形。 </w:t>
      </w:r>
      <w:r/>
    </w:p>
    <w:p>
      <w:pPr>
        <w:ind w:firstLine="560"/>
        <w:spacing w:line="500" w:lineRule="exact"/>
        <w:rPr>
          <w:rFonts w:ascii="宋体" w:hAnsi="宋体" w:cs="宋体"/>
          <w:sz w:val="28"/>
          <w:szCs w:val="28"/>
        </w:rPr>
      </w:pPr>
      <w:r>
        <w:rPr>
          <w:rFonts w:hint="eastAsia" w:ascii="宋体" w:hAnsi="宋体" w:cs="宋体"/>
          <w:sz w:val="28"/>
          <w:szCs w:val="28"/>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并在评审报告中进行记录。</w:t>
      </w:r>
      <w:r/>
    </w:p>
    <w:p>
      <w:pPr>
        <w:pStyle w:val="650"/>
        <w:spacing w:line="500" w:lineRule="exact"/>
        <w:rPr>
          <w:rFonts w:ascii="楷体" w:hAnsi="楷体" w:eastAsia="楷体" w:cs="宋体"/>
          <w:b/>
          <w:sz w:val="28"/>
          <w:szCs w:val="28"/>
        </w:rPr>
      </w:pPr>
      <w:r>
        <w:rPr>
          <w:rFonts w:hint="eastAsia" w:ascii="楷体" w:hAnsi="楷体" w:eastAsia="楷体"/>
          <w:b/>
          <w:sz w:val="28"/>
          <w:szCs w:val="28"/>
        </w:rPr>
        <w:t xml:space="preserve">3.4</w:t>
      </w:r>
      <w:r>
        <w:rPr>
          <w:rFonts w:hint="eastAsia" w:ascii="楷体" w:hAnsi="楷体" w:eastAsia="楷体" w:cs="宋体"/>
          <w:b/>
          <w:sz w:val="28"/>
          <w:szCs w:val="28"/>
        </w:rPr>
        <w:t xml:space="preserve">争议解决</w:t>
      </w:r>
      <w:r/>
    </w:p>
    <w:p>
      <w:pPr>
        <w:pStyle w:val="650"/>
        <w:ind w:firstLine="560"/>
        <w:spacing w:line="500" w:lineRule="exact"/>
        <w:rPr>
          <w:rFonts w:ascii="Arial" w:hAnsi="Arial" w:eastAsia="Arial"/>
          <w:sz w:val="28"/>
          <w:szCs w:val="28"/>
        </w:rPr>
      </w:pPr>
      <w:r>
        <w:rPr>
          <w:rFonts w:hint="eastAsia" w:ascii="Arial" w:hAnsi="Arial" w:eastAsia="Arial"/>
          <w:sz w:val="28"/>
          <w:szCs w:val="28"/>
        </w:rPr>
        <w:t xml:space="preserve">评标委员会成员对需要共同认定的事项存在争议的，按照少数服从多数的原则作出结论。持不同意见的评标委员会成员须在评标报告上签署不同意见及理由。</w:t>
      </w:r>
      <w:r/>
    </w:p>
    <w:p>
      <w:pPr>
        <w:spacing w:line="500" w:lineRule="exact"/>
        <w:rPr>
          <w:rFonts w:ascii="楷体" w:hAnsi="楷体" w:eastAsia="楷体"/>
          <w:b/>
          <w:sz w:val="28"/>
          <w:szCs w:val="28"/>
        </w:rPr>
      </w:pPr>
      <w:r>
        <w:rPr>
          <w:rFonts w:hint="eastAsia" w:ascii="楷体" w:hAnsi="楷体" w:eastAsia="楷体"/>
          <w:b/>
          <w:sz w:val="28"/>
          <w:szCs w:val="28"/>
        </w:rPr>
        <w:t xml:space="preserve">3.5评标终止</w:t>
      </w:r>
      <w:r/>
    </w:p>
    <w:p>
      <w:pPr>
        <w:pStyle w:val="650"/>
        <w:ind w:firstLine="560"/>
        <w:spacing w:line="500" w:lineRule="exact"/>
        <w:rPr>
          <w:sz w:val="28"/>
          <w:szCs w:val="28"/>
        </w:rPr>
      </w:pPr>
      <w:r>
        <w:rPr>
          <w:rFonts w:hint="eastAsia"/>
          <w:sz w:val="28"/>
          <w:szCs w:val="28"/>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ascii="楷体" w:hAnsi="楷体" w:eastAsia="楷体"/>
          <w:b/>
          <w:sz w:val="28"/>
          <w:szCs w:val="28"/>
        </w:rPr>
      </w:pPr>
      <w:r>
        <w:rPr>
          <w:rFonts w:hint="eastAsia" w:ascii="楷体" w:hAnsi="楷体" w:eastAsia="楷体"/>
          <w:b/>
          <w:sz w:val="28"/>
          <w:szCs w:val="28"/>
        </w:rPr>
        <w:t xml:space="preserve">3.6修改评标结果</w:t>
      </w:r>
      <w:r/>
    </w:p>
    <w:p>
      <w:pPr>
        <w:ind w:firstLine="560"/>
        <w:spacing w:line="500" w:lineRule="exact"/>
        <w:rPr>
          <w:rFonts w:ascii="宋体"/>
          <w:sz w:val="28"/>
          <w:szCs w:val="28"/>
        </w:rPr>
      </w:pPr>
      <w:r>
        <w:rPr>
          <w:rFonts w:hint="eastAsia" w:ascii="宋体" w:hAnsi="宋体"/>
          <w:sz w:val="28"/>
          <w:szCs w:val="28"/>
        </w:rPr>
        <w:t xml:space="preserve">评审组长负责汇总和核对各</w:t>
      </w:r>
      <w:r>
        <w:rPr>
          <w:rFonts w:hint="eastAsia" w:ascii="Arial" w:hAnsi="Arial" w:eastAsia="Arial"/>
          <w:sz w:val="28"/>
          <w:szCs w:val="28"/>
        </w:rPr>
        <w:t xml:space="preserve">评标委员会成员</w:t>
      </w:r>
      <w:r>
        <w:rPr>
          <w:rFonts w:hint="eastAsia" w:ascii="宋体" w:hAnsi="宋体"/>
          <w:sz w:val="28"/>
          <w:szCs w:val="28"/>
        </w:rPr>
        <w:t xml:space="preserve">的评审结果。在评标报告签署前，出现下列情形之一的，可以要求其当场修改评审结果：</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1</w:t>
      </w:r>
      <w:r>
        <w:rPr>
          <w:rFonts w:hint="eastAsia" w:ascii="宋体" w:hAnsi="宋体"/>
          <w:sz w:val="28"/>
          <w:szCs w:val="28"/>
        </w:rPr>
        <w:t xml:space="preserve">）分值汇总计算错误；</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2</w:t>
      </w:r>
      <w:r>
        <w:rPr>
          <w:rFonts w:hint="eastAsia" w:ascii="宋体" w:hAnsi="宋体"/>
          <w:sz w:val="28"/>
          <w:szCs w:val="28"/>
        </w:rPr>
        <w:t xml:space="preserve">）分项评分超出评分标准范围；</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3</w:t>
      </w:r>
      <w:r>
        <w:rPr>
          <w:rFonts w:hint="eastAsia" w:ascii="宋体" w:hAnsi="宋体"/>
          <w:sz w:val="28"/>
          <w:szCs w:val="28"/>
        </w:rPr>
        <w:t xml:space="preserve">）评标委员会成员对客观评审因素评分不一致；</w:t>
      </w:r>
      <w:r/>
    </w:p>
    <w:p>
      <w:pPr>
        <w:pStyle w:val="650"/>
        <w:ind w:firstLine="560"/>
        <w:spacing w:line="500" w:lineRule="exact"/>
      </w:pPr>
      <w:r>
        <w:rPr>
          <w:rFonts w:hint="eastAsia" w:ascii="宋体" w:hAnsi="宋体"/>
          <w:sz w:val="28"/>
          <w:szCs w:val="28"/>
        </w:rPr>
        <w:t xml:space="preserve">（</w:t>
      </w:r>
      <w:r>
        <w:rPr>
          <w:rFonts w:ascii="宋体" w:hAnsi="宋体"/>
          <w:sz w:val="28"/>
          <w:szCs w:val="28"/>
        </w:rPr>
        <w:t xml:space="preserve">4</w:t>
      </w:r>
      <w:r>
        <w:rPr>
          <w:rFonts w:hint="eastAsia" w:ascii="宋体" w:hAnsi="宋体"/>
          <w:sz w:val="28"/>
          <w:szCs w:val="28"/>
        </w:rPr>
        <w:t xml:space="preserve">）经评标委员会认定评分畸高或畸低。</w:t>
      </w:r>
      <w:r/>
    </w:p>
    <w:p>
      <w:pPr>
        <w:pStyle w:val="650"/>
        <w:spacing w:line="500" w:lineRule="exact"/>
        <w:rPr>
          <w:rFonts w:ascii="楷体" w:hAnsi="楷体" w:eastAsia="楷体"/>
          <w:b/>
          <w:sz w:val="28"/>
          <w:szCs w:val="28"/>
        </w:rPr>
      </w:pPr>
      <w:r>
        <w:rPr>
          <w:rFonts w:hint="eastAsia" w:ascii="楷体" w:hAnsi="楷体" w:eastAsia="楷体"/>
          <w:b/>
          <w:sz w:val="28"/>
          <w:szCs w:val="28"/>
        </w:rPr>
        <w:t xml:space="preserve">3.7 投标人总分相同</w:t>
      </w:r>
      <w:r/>
    </w:p>
    <w:p>
      <w:pPr>
        <w:ind w:firstLine="560"/>
        <w:spacing w:line="500" w:lineRule="exact"/>
        <w:rPr>
          <w:rFonts w:ascii="宋体"/>
          <w:sz w:val="28"/>
          <w:szCs w:val="28"/>
        </w:rPr>
      </w:pPr>
      <w:r>
        <w:rPr>
          <w:rFonts w:hint="eastAsia" w:ascii="宋体" w:hAnsi="宋体"/>
          <w:sz w:val="28"/>
          <w:szCs w:val="28"/>
        </w:rPr>
        <w:t xml:space="preserve">投标人总分相同时，投标报价低的排名优先；如投标报价也相同，由招标人抽签确定排序。</w:t>
      </w:r>
      <w:r/>
    </w:p>
    <w:p>
      <w:pPr>
        <w:pStyle w:val="650"/>
        <w:spacing w:line="500" w:lineRule="exact"/>
        <w:rPr>
          <w:rFonts w:ascii="楷体" w:hAnsi="楷体" w:eastAsia="楷体"/>
          <w:b/>
          <w:sz w:val="28"/>
          <w:szCs w:val="28"/>
        </w:rPr>
      </w:pPr>
      <w:r>
        <w:rPr>
          <w:rFonts w:hint="eastAsia" w:ascii="楷体" w:hAnsi="楷体" w:eastAsia="楷体"/>
          <w:b/>
          <w:sz w:val="28"/>
          <w:szCs w:val="28"/>
        </w:rPr>
        <w:t xml:space="preserve">3.8评标报告签署</w:t>
      </w:r>
      <w:r/>
    </w:p>
    <w:p>
      <w:pPr>
        <w:ind w:firstLine="560"/>
        <w:spacing w:line="500" w:lineRule="exact"/>
        <w:rPr>
          <w:rFonts w:ascii="宋体" w:hAnsi="宋体"/>
          <w:sz w:val="28"/>
          <w:szCs w:val="28"/>
        </w:rPr>
      </w:pPr>
      <w:r>
        <w:rPr>
          <w:rFonts w:hint="eastAsia" w:ascii="宋体" w:hAnsi="宋体"/>
          <w:sz w:val="28"/>
          <w:szCs w:val="28"/>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650"/>
        <w:spacing w:line="500" w:lineRule="exact"/>
        <w:rPr>
          <w:rFonts w:ascii="黑体" w:hAnsi="黑体" w:eastAsia="黑体"/>
          <w:b/>
          <w:sz w:val="28"/>
          <w:szCs w:val="28"/>
        </w:rPr>
      </w:pPr>
      <w:r>
        <w:rPr>
          <w:rFonts w:hint="eastAsia" w:ascii="黑体" w:hAnsi="黑体" w:eastAsia="黑体"/>
          <w:b/>
          <w:sz w:val="28"/>
          <w:szCs w:val="28"/>
        </w:rPr>
        <w:t xml:space="preserve">4.判定无效投标的规定</w:t>
      </w:r>
      <w:r/>
    </w:p>
    <w:p>
      <w:pPr>
        <w:pStyle w:val="650"/>
        <w:spacing w:line="500" w:lineRule="exact"/>
        <w:rPr>
          <w:rFonts w:ascii="楷体" w:hAnsi="楷体" w:eastAsia="楷体"/>
          <w:b/>
          <w:sz w:val="28"/>
          <w:szCs w:val="28"/>
        </w:rPr>
      </w:pPr>
      <w:r>
        <w:rPr>
          <w:rFonts w:hint="eastAsia" w:ascii="楷体" w:hAnsi="楷体" w:eastAsia="楷体"/>
          <w:b/>
          <w:sz w:val="28"/>
          <w:szCs w:val="28"/>
        </w:rPr>
        <w:t xml:space="preserve">4.1开标过程中，有下列情形之一的，作无效投标处理。</w:t>
      </w:r>
      <w:r/>
    </w:p>
    <w:p>
      <w:pPr>
        <w:pStyle w:val="650"/>
        <w:ind w:firstLine="560"/>
        <w:spacing w:after="0" w:line="500" w:lineRule="exact"/>
        <w:rPr>
          <w:rFonts w:ascii="Arial" w:hAnsi="Arial" w:eastAsia="Arial"/>
          <w:sz w:val="28"/>
          <w:szCs w:val="28"/>
        </w:rPr>
      </w:pPr>
      <w:r>
        <w:rPr>
          <w:rFonts w:hint="eastAsia" w:ascii="Arial" w:hAnsi="Arial" w:eastAsia="Arial"/>
          <w:sz w:val="28"/>
          <w:szCs w:val="28"/>
        </w:rPr>
        <w:t xml:space="preserve">（1）投标文件无法解密；</w:t>
      </w:r>
      <w:r/>
    </w:p>
    <w:p>
      <w:pPr>
        <w:pStyle w:val="650"/>
        <w:ind w:firstLine="560"/>
        <w:spacing w:after="0" w:line="500" w:lineRule="exact"/>
        <w:rPr>
          <w:rFonts w:ascii="Arial" w:hAnsi="Arial" w:eastAsia="Arial"/>
          <w:sz w:val="28"/>
          <w:szCs w:val="28"/>
        </w:rPr>
      </w:pPr>
      <w:r>
        <w:rPr>
          <w:rFonts w:hint="eastAsia" w:ascii="Arial" w:hAnsi="Arial" w:eastAsia="Arial"/>
          <w:sz w:val="28"/>
          <w:szCs w:val="28"/>
        </w:rPr>
        <w:t xml:space="preserve">（2）投标文件未在规定的时间内解密成功。</w:t>
      </w:r>
      <w:r/>
    </w:p>
    <w:p>
      <w:pPr>
        <w:pStyle w:val="650"/>
        <w:spacing w:after="0" w:line="500" w:lineRule="exact"/>
        <w:rPr>
          <w:rFonts w:ascii="楷体" w:hAnsi="楷体" w:eastAsia="楷体"/>
          <w:b/>
          <w:spacing w:val="-14"/>
          <w:sz w:val="28"/>
          <w:szCs w:val="28"/>
        </w:rPr>
      </w:pPr>
      <w:r>
        <w:rPr>
          <w:rFonts w:hint="eastAsia" w:ascii="楷体" w:hAnsi="楷体" w:eastAsia="楷体"/>
          <w:b/>
          <w:sz w:val="28"/>
          <w:szCs w:val="28"/>
        </w:rPr>
        <w:t xml:space="preserve">4.2资格审查过程中，</w:t>
      </w:r>
      <w:r>
        <w:rPr>
          <w:rFonts w:hint="eastAsia" w:ascii="楷体" w:hAnsi="楷体" w:eastAsia="楷体"/>
          <w:b/>
          <w:spacing w:val="-14"/>
          <w:sz w:val="28"/>
          <w:szCs w:val="28"/>
        </w:rPr>
        <w:t xml:space="preserve">投标文件出现不符合1.2项评审标准之一的，作无效标处理。</w:t>
      </w:r>
      <w:r/>
    </w:p>
    <w:p>
      <w:pPr>
        <w:pStyle w:val="650"/>
        <w:spacing w:after="0" w:line="500" w:lineRule="exact"/>
        <w:rPr>
          <w:rFonts w:ascii="楷体" w:hAnsi="楷体" w:eastAsia="楷体"/>
          <w:b/>
          <w:spacing w:val="-14"/>
          <w:sz w:val="28"/>
          <w:szCs w:val="28"/>
        </w:rPr>
      </w:pPr>
      <w:r>
        <w:rPr>
          <w:rFonts w:hint="eastAsia" w:ascii="楷体" w:hAnsi="楷体" w:eastAsia="楷体"/>
          <w:b/>
          <w:spacing w:val="-14"/>
          <w:sz w:val="28"/>
          <w:szCs w:val="28"/>
        </w:rPr>
        <w:t xml:space="preserve">4.3</w:t>
      </w:r>
      <w:r>
        <w:rPr>
          <w:rFonts w:hint="eastAsia" w:ascii="楷体" w:hAnsi="楷体" w:eastAsia="楷体"/>
          <w:b/>
          <w:sz w:val="28"/>
          <w:szCs w:val="28"/>
        </w:rPr>
        <w:t xml:space="preserve">评标过程中，有下列情形之一的，作无效投标处理。</w:t>
      </w:r>
      <w:r/>
    </w:p>
    <w:p>
      <w:pPr>
        <w:pStyle w:val="650"/>
        <w:ind w:firstLine="560"/>
        <w:spacing w:after="0" w:line="500" w:lineRule="exact"/>
        <w:rPr>
          <w:rFonts w:ascii="Arial" w:hAnsi="Arial" w:eastAsia="Arial"/>
          <w:sz w:val="28"/>
          <w:szCs w:val="28"/>
        </w:rPr>
      </w:pPr>
      <w:r>
        <w:rPr>
          <w:rFonts w:hint="eastAsia" w:ascii="Arial" w:hAnsi="Arial" w:eastAsia="Arial"/>
          <w:sz w:val="28"/>
          <w:szCs w:val="28"/>
        </w:rPr>
        <w:t xml:space="preserve">（1）符合性评审时，投标文件出现不符合</w:t>
      </w:r>
      <w:r>
        <w:rPr>
          <w:rFonts w:ascii="Arial" w:hAnsi="Arial" w:eastAsia="Arial"/>
          <w:sz w:val="28"/>
          <w:szCs w:val="28"/>
        </w:rPr>
        <w:t xml:space="preserve">2.</w:t>
      </w:r>
      <w:r>
        <w:rPr>
          <w:rFonts w:hint="eastAsia" w:ascii="Arial" w:hAnsi="Arial" w:eastAsia="Arial"/>
          <w:sz w:val="28"/>
          <w:szCs w:val="28"/>
        </w:rPr>
        <w:t xml:space="preserve">2.2项评审标准之一的；</w:t>
      </w:r>
      <w:r/>
    </w:p>
    <w:p>
      <w:pPr>
        <w:pStyle w:val="650"/>
        <w:ind w:firstLine="560"/>
        <w:spacing w:after="0" w:line="500" w:lineRule="exact"/>
        <w:rPr>
          <w:rFonts w:ascii="Arial" w:hAnsi="Arial" w:eastAsia="Arial"/>
          <w:sz w:val="28"/>
          <w:szCs w:val="28"/>
        </w:rPr>
      </w:pPr>
      <w:r>
        <w:rPr>
          <w:rFonts w:hint="eastAsia" w:ascii="Arial" w:hAnsi="Arial" w:eastAsia="Arial"/>
          <w:sz w:val="28"/>
          <w:szCs w:val="28"/>
        </w:rPr>
        <w:t xml:space="preserve">（2）投标人不确认评标委员会提出的投标报价修正意见的；</w:t>
      </w:r>
      <w:r/>
    </w:p>
    <w:p>
      <w:pPr>
        <w:pStyle w:val="650"/>
        <w:ind w:firstLine="560"/>
        <w:spacing w:after="0" w:line="500" w:lineRule="exact"/>
        <w:rPr>
          <w:rFonts w:ascii="Arial" w:hAnsi="Arial" w:eastAsia="Arial"/>
          <w:sz w:val="28"/>
          <w:szCs w:val="28"/>
        </w:rPr>
      </w:pPr>
      <w:r>
        <w:rPr>
          <w:rFonts w:hint="eastAsia" w:ascii="Arial" w:hAnsi="Arial" w:eastAsia="Arial"/>
          <w:sz w:val="28"/>
          <w:szCs w:val="28"/>
        </w:rPr>
        <w:t xml:space="preserve">（3）未按照评标委员会要求提供书面说明及相关证明材料证明其报价合理性的；</w:t>
      </w:r>
      <w:r/>
    </w:p>
    <w:p>
      <w:pPr>
        <w:pStyle w:val="650"/>
        <w:ind w:firstLine="560"/>
        <w:spacing w:after="0" w:line="500" w:lineRule="exact"/>
        <w:rPr>
          <w:rFonts w:ascii="Arial" w:hAnsi="Arial" w:eastAsia="Arial"/>
          <w:sz w:val="28"/>
          <w:szCs w:val="28"/>
        </w:rPr>
      </w:pPr>
      <w:r>
        <w:rPr>
          <w:rFonts w:hint="eastAsia" w:ascii="Arial" w:hAnsi="Arial" w:eastAsia="Arial"/>
          <w:sz w:val="28"/>
          <w:szCs w:val="28"/>
        </w:rPr>
        <w:t xml:space="preserve">（4）投标文件含有采购人不能接受的附加条件的。</w:t>
      </w:r>
      <w:r/>
    </w:p>
    <w:p>
      <w:pPr>
        <w:pStyle w:val="650"/>
        <w:spacing w:after="0" w:line="500" w:lineRule="exact"/>
        <w:rPr>
          <w:rFonts w:ascii="楷体" w:hAnsi="楷体" w:eastAsia="楷体"/>
          <w:b/>
          <w:sz w:val="28"/>
          <w:szCs w:val="28"/>
        </w:rPr>
      </w:pPr>
      <w:r>
        <w:rPr>
          <w:rFonts w:hint="eastAsia" w:ascii="楷体" w:hAnsi="楷体" w:eastAsia="楷体"/>
          <w:b/>
          <w:sz w:val="28"/>
          <w:szCs w:val="28"/>
        </w:rPr>
        <w:t xml:space="preserve">4.4法律、法规规定的其他投标无效情形。</w:t>
      </w:r>
      <w:bookmarkEnd w:id="231"/>
      <w:r/>
      <w:bookmarkEnd w:id="232"/>
      <w:r/>
      <w:bookmarkEnd w:id="233"/>
      <w:r/>
      <w:bookmarkEnd w:id="234"/>
      <w:r/>
      <w:bookmarkEnd w:id="235"/>
      <w:r/>
      <w:bookmarkEnd w:id="236"/>
      <w:r/>
      <w:bookmarkEnd w:id="237"/>
      <w:r/>
      <w:bookmarkEnd w:id="238"/>
      <w:r/>
      <w:bookmarkEnd w:id="240"/>
      <w:r/>
      <w:r/>
    </w:p>
    <w:p>
      <w:pPr>
        <w:pStyle w:val="650"/>
      </w:pPr>
      <w:r/>
      <w:r/>
    </w:p>
    <w:p>
      <w:pPr>
        <w:pStyle w:val="650"/>
      </w:pPr>
      <w:r/>
      <w:r/>
    </w:p>
    <w:p>
      <w:pPr>
        <w:jc w:val="left"/>
        <w:widowControl/>
        <w:rPr>
          <w:rFonts w:ascii="黑体" w:hAnsi="宋体" w:eastAsia="黑体"/>
          <w:b/>
          <w:sz w:val="32"/>
          <w:szCs w:val="20"/>
        </w:rPr>
      </w:pPr>
      <w:r/>
      <w:bookmarkStart w:id="241" w:name="_Toc383624013"/>
      <w:r/>
      <w:bookmarkStart w:id="242" w:name="_Toc383626062"/>
      <w:r/>
      <w:bookmarkStart w:id="243" w:name="_Toc390098908"/>
      <w:r/>
      <w:bookmarkStart w:id="244" w:name="_Toc390246973"/>
      <w:r/>
      <w:bookmarkStart w:id="245" w:name="_Toc383698715"/>
      <w:r/>
      <w:bookmarkStart w:id="246" w:name="_Toc383623741"/>
      <w:r/>
      <w:bookmarkStart w:id="247" w:name="_Toc383679815"/>
      <w:r/>
      <w:bookmarkStart w:id="248" w:name="_Toc425871381"/>
      <w:r/>
      <w:bookmarkStart w:id="249" w:name="_Toc390099086"/>
      <w:r>
        <w:rPr>
          <w:rFonts w:ascii="黑体" w:hAnsi="宋体" w:eastAsia="黑体"/>
          <w:b/>
        </w:rPr>
        <w:br w:type="page" w:clear="all"/>
      </w:r>
      <w:r/>
    </w:p>
    <w:p>
      <w:pPr>
        <w:pStyle w:val="665"/>
        <w:ind w:left="0" w:firstLine="0"/>
        <w:jc w:val="center"/>
        <w:spacing w:line="500" w:lineRule="exact"/>
        <w:rPr>
          <w:rFonts w:ascii="黑体" w:hAnsi="宋体" w:eastAsia="黑体"/>
          <w:b/>
          <w:color w:val="auto"/>
        </w:rPr>
        <w:outlineLvl w:val="0"/>
      </w:pPr>
      <w:r>
        <w:rPr>
          <w:rFonts w:hint="eastAsia" w:ascii="黑体" w:hAnsi="宋体" w:eastAsia="黑体"/>
          <w:b/>
          <w:color w:val="auto"/>
        </w:rPr>
        <w:t xml:space="preserve">第四章</w:t>
      </w:r>
      <w:r>
        <w:rPr>
          <w:rFonts w:ascii="黑体" w:hAnsi="宋体" w:eastAsia="黑体"/>
          <w:b/>
          <w:color w:val="auto"/>
        </w:rPr>
        <w:t xml:space="preserve"> </w:t>
      </w:r>
      <w:r>
        <w:rPr>
          <w:rFonts w:hint="eastAsia" w:ascii="黑体" w:hAnsi="宋体" w:eastAsia="黑体"/>
          <w:b/>
          <w:color w:val="auto"/>
        </w:rPr>
        <w:t xml:space="preserve">合同条款</w:t>
      </w:r>
      <w:bookmarkStart w:id="250" w:name="_Toc382812295"/>
      <w:r/>
      <w:bookmarkStart w:id="251" w:name="_Toc16938559"/>
      <w:r/>
      <w:bookmarkStart w:id="252" w:name="_Toc120614222"/>
      <w:r/>
      <w:bookmarkStart w:id="253" w:name="_Toc288030332"/>
      <w:r/>
      <w:bookmarkStart w:id="254" w:name="_Toc382812484"/>
      <w:r/>
      <w:bookmarkStart w:id="255" w:name="_Toc20823315"/>
      <w:r/>
      <w:bookmarkStart w:id="256" w:name="_Toc383587505"/>
      <w:r/>
      <w:bookmarkStart w:id="257" w:name="_Toc382811181"/>
      <w:r/>
      <w:bookmarkStart w:id="258" w:name="_Toc382811586"/>
      <w:r/>
      <w:bookmarkStart w:id="259" w:name="_Toc282446296"/>
      <w:r/>
      <w:bookmarkStart w:id="260" w:name="_Toc513029243"/>
      <w:r/>
      <w:bookmarkStart w:id="261" w:name="_Toc382813933"/>
      <w:r/>
      <w:bookmarkStart w:id="262" w:name="_Toc382814014"/>
      <w:r/>
      <w:bookmarkStart w:id="263" w:name="_Toc390246952"/>
      <w:r/>
      <w:bookmarkStart w:id="264" w:name="_Toc390099065"/>
      <w:r/>
      <w:bookmarkStart w:id="265" w:name="_Toc383679794"/>
      <w:r/>
      <w:bookmarkStart w:id="266" w:name="_Toc383626041"/>
      <w:r/>
      <w:bookmarkStart w:id="267" w:name="_Toc383623992"/>
      <w:r/>
      <w:bookmarkStart w:id="268" w:name="_Toc390098887"/>
      <w:r/>
      <w:bookmarkStart w:id="269" w:name="_Toc383623720"/>
      <w:r/>
      <w:bookmarkStart w:id="270" w:name="_Toc383698694"/>
      <w:r/>
      <w:bookmarkStart w:id="271" w:name="_Toc425871366"/>
      <w:r/>
      <w:r/>
    </w:p>
    <w:p>
      <w:pPr>
        <w:pStyle w:val="665"/>
        <w:ind w:left="0" w:firstLine="0"/>
        <w:spacing w:line="500" w:lineRule="exact"/>
        <w:rPr>
          <w:rFonts w:ascii="宋体" w:hAnsi="宋体" w:eastAsia="宋体"/>
          <w:b/>
          <w:bCs/>
          <w:color w:val="000000"/>
          <w:szCs w:val="28"/>
        </w:rPr>
        <w:outlineLvl w:val="0"/>
      </w:pPr>
      <w:r>
        <w:rPr>
          <w:rFonts w:ascii="宋体" w:hAnsi="宋体" w:eastAsia="宋体"/>
          <w:b/>
          <w:bCs/>
          <w:color w:val="000000"/>
          <w:szCs w:val="28"/>
        </w:rPr>
      </w:r>
      <w:r/>
    </w:p>
    <w:p>
      <w:pPr>
        <w:pStyle w:val="665"/>
        <w:ind w:left="0" w:firstLine="0"/>
        <w:spacing w:line="500" w:lineRule="exact"/>
        <w:rPr>
          <w:rFonts w:ascii="宋体" w:hAnsi="宋体" w:eastAsia="宋体"/>
          <w:b/>
          <w:bCs/>
          <w:color w:val="000000"/>
          <w:szCs w:val="28"/>
        </w:rPr>
        <w:outlineLvl w:val="0"/>
      </w:pPr>
      <w:r>
        <w:rPr>
          <w:rFonts w:hint="eastAsia" w:ascii="宋体" w:hAnsi="宋体" w:eastAsia="宋体"/>
          <w:b/>
          <w:bCs/>
          <w:color w:val="000000"/>
          <w:szCs w:val="28"/>
        </w:rPr>
        <w:t xml:space="preserve">一、通用合同条款</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Pr>
          <w:rFonts w:hint="eastAsia" w:ascii="宋体" w:hAnsi="宋体" w:eastAsia="宋体"/>
          <w:b/>
          <w:bCs/>
          <w:color w:val="000000"/>
          <w:szCs w:val="28"/>
        </w:rPr>
        <w:t xml:space="preserve">部分</w:t>
      </w:r>
      <w:bookmarkEnd w:id="263"/>
      <w:r/>
      <w:bookmarkEnd w:id="264"/>
      <w:r/>
      <w:bookmarkEnd w:id="265"/>
      <w:r/>
      <w:bookmarkEnd w:id="266"/>
      <w:r/>
      <w:bookmarkEnd w:id="267"/>
      <w:r/>
      <w:bookmarkEnd w:id="268"/>
      <w:r/>
      <w:bookmarkEnd w:id="269"/>
      <w:r/>
      <w:bookmarkEnd w:id="270"/>
      <w:r/>
      <w:bookmarkEnd w:id="271"/>
      <w:r/>
      <w:r/>
    </w:p>
    <w:p>
      <w:pPr>
        <w:ind w:firstLine="560"/>
        <w:jc w:val="left"/>
        <w:spacing w:line="500" w:lineRule="exact"/>
        <w:rPr>
          <w:rFonts w:ascii="宋体" w:hAnsi="宋体" w:cs="宋体"/>
          <w:sz w:val="28"/>
          <w:szCs w:val="21"/>
        </w:rPr>
      </w:pPr>
      <w:r/>
      <w:bookmarkStart w:id="272" w:name="_Toc382811183"/>
      <w:r/>
      <w:bookmarkStart w:id="273" w:name="_Toc383698695"/>
      <w:r/>
      <w:bookmarkStart w:id="274" w:name="_Toc425871367"/>
      <w:r/>
      <w:bookmarkStart w:id="275" w:name="_Toc383679795"/>
      <w:r/>
      <w:bookmarkStart w:id="276" w:name="_Toc382812486"/>
      <w:r/>
      <w:bookmarkStart w:id="277" w:name="_Toc390099066"/>
      <w:r/>
      <w:bookmarkStart w:id="278" w:name="_Toc282446298"/>
      <w:r/>
      <w:bookmarkStart w:id="279" w:name="_Toc383626042"/>
      <w:r/>
      <w:bookmarkStart w:id="280" w:name="_Toc383623993"/>
      <w:r/>
      <w:bookmarkStart w:id="281" w:name="_Toc383587507"/>
      <w:r/>
      <w:bookmarkStart w:id="282" w:name="_Toc390098888"/>
      <w:r/>
      <w:bookmarkStart w:id="283" w:name="_Toc120614224"/>
      <w:r/>
      <w:bookmarkStart w:id="284" w:name="_Toc20823317"/>
      <w:r/>
      <w:bookmarkStart w:id="285" w:name="_Toc288030334"/>
      <w:r/>
      <w:bookmarkStart w:id="286" w:name="_Toc382814016"/>
      <w:r/>
      <w:bookmarkStart w:id="287" w:name="_Toc16938561"/>
      <w:r/>
      <w:bookmarkStart w:id="288" w:name="_Toc382811588"/>
      <w:r/>
      <w:bookmarkStart w:id="289" w:name="_Toc382813935"/>
      <w:r/>
      <w:bookmarkStart w:id="290" w:name="_Toc382812297"/>
      <w:r/>
      <w:bookmarkStart w:id="291" w:name="_Toc513029245"/>
      <w:r/>
      <w:bookmarkStart w:id="292" w:name="_Toc390246953"/>
      <w:r/>
      <w:bookmarkStart w:id="293" w:name="_Toc383623721"/>
      <w:r>
        <w:rPr>
          <w:rFonts w:hint="eastAsia" w:ascii="宋体" w:hAnsi="宋体" w:cs="宋体"/>
          <w:sz w:val="28"/>
          <w:szCs w:val="21"/>
        </w:rPr>
        <w:t xml:space="preserve">1、定义</w:t>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本合同中的下列术语应解释为：</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（1）“合同”系指买方、见证方与卖方签署的、合同格式中载明的买方与卖方所达成的协议，包括所有的附件、附录和构成合同的所有文件。</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（2）“合同价”系指根据合同规定，卖方在正确地完全履行合同义务后买方应支付给卖方的价格。</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（3）“服务”系指根据合同规定卖方承担与供货有关所有的辅助服务，如运输、保险以及其它的伴随服务，比如安装、调试、测试、提供技术服务、培训和其他所有的卖方应承担的义务。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（4）“买方”系指购买服务的</w:t>
      </w:r>
      <w:r>
        <w:rPr>
          <w:rFonts w:hint="eastAsia" w:ascii="宋体" w:hAnsi="宋体" w:cs="宋体"/>
          <w:sz w:val="28"/>
          <w:szCs w:val="21"/>
          <w:u w:val="single"/>
        </w:rPr>
        <w:t xml:space="preserve">              </w:t>
      </w:r>
      <w:r>
        <w:rPr>
          <w:rFonts w:hint="eastAsia" w:ascii="宋体" w:hAnsi="宋体" w:cs="宋体"/>
          <w:sz w:val="28"/>
          <w:szCs w:val="21"/>
        </w:rPr>
        <w:t xml:space="preserve">。</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（5）“卖方”系指提供服务的中标供应商。</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（6）“见证方”系指招标人。</w:t>
      </w:r>
      <w:r/>
    </w:p>
    <w:p>
      <w:pPr>
        <w:ind w:firstLine="560"/>
        <w:jc w:val="left"/>
        <w:spacing w:line="500" w:lineRule="exact"/>
        <w:rPr>
          <w:rFonts w:ascii="宋体" w:hAnsi="宋体" w:cs="宋体"/>
          <w:sz w:val="28"/>
          <w:szCs w:val="21"/>
          <w:u w:val="single"/>
        </w:rPr>
      </w:pPr>
      <w:r>
        <w:rPr>
          <w:rFonts w:hint="eastAsia" w:ascii="宋体" w:hAnsi="宋体" w:cs="宋体"/>
          <w:sz w:val="28"/>
          <w:szCs w:val="21"/>
        </w:rPr>
        <w:t xml:space="preserve">（7）“采购人”系指购买服务的</w:t>
      </w:r>
      <w:r>
        <w:rPr>
          <w:rFonts w:hint="eastAsia" w:ascii="宋体" w:hAnsi="宋体" w:cs="宋体"/>
          <w:sz w:val="28"/>
          <w:szCs w:val="21"/>
          <w:u w:val="single"/>
        </w:rPr>
        <w:t xml:space="preserve">               </w:t>
      </w:r>
      <w:r>
        <w:rPr>
          <w:rFonts w:hint="eastAsia" w:ascii="宋体" w:hAnsi="宋体" w:cs="宋体"/>
          <w:sz w:val="28"/>
          <w:szCs w:val="21"/>
        </w:rPr>
        <w:t xml:space="preserve">。</w:t>
      </w:r>
      <w:r/>
    </w:p>
    <w:p>
      <w:pPr>
        <w:ind w:firstLine="560"/>
        <w:jc w:val="left"/>
        <w:spacing w:line="500" w:lineRule="exact"/>
        <w:rPr>
          <w:rFonts w:ascii="宋体" w:hAnsi="宋体" w:cs="宋体"/>
          <w:sz w:val="28"/>
          <w:szCs w:val="21"/>
        </w:rPr>
      </w:pPr>
      <w:r/>
      <w:bookmarkStart w:id="294" w:name="_Toc513029246"/>
      <w:r/>
      <w:bookmarkStart w:id="295" w:name="_Toc282446299"/>
      <w:r/>
      <w:bookmarkStart w:id="296" w:name="_Toc120614225"/>
      <w:r/>
      <w:bookmarkStart w:id="297" w:name="_Toc20823318"/>
      <w:r/>
      <w:bookmarkStart w:id="298" w:name="_Toc288030335"/>
      <w:r/>
      <w:bookmarkStart w:id="299" w:name="_Toc16938562"/>
      <w:r/>
      <w:bookmarkStart w:id="300" w:name="_Toc383587508"/>
      <w:r/>
      <w:bookmarkStart w:id="301" w:name="_Toc382813936"/>
      <w:r/>
      <w:bookmarkStart w:id="302" w:name="_Toc390099067"/>
      <w:r/>
      <w:bookmarkStart w:id="303" w:name="_Toc383623994"/>
      <w:r/>
      <w:bookmarkStart w:id="304" w:name="_Toc383626043"/>
      <w:r/>
      <w:bookmarkStart w:id="305" w:name="_Toc382814017"/>
      <w:r/>
      <w:bookmarkStart w:id="306" w:name="_Toc383623722"/>
      <w:r/>
      <w:bookmarkStart w:id="307" w:name="_Toc382811184"/>
      <w:r/>
      <w:bookmarkStart w:id="308" w:name="_Toc390098889"/>
      <w:r/>
      <w:bookmarkStart w:id="309" w:name="_Toc382812487"/>
      <w:r/>
      <w:bookmarkStart w:id="310" w:name="_Toc383679796"/>
      <w:r/>
      <w:bookmarkStart w:id="311" w:name="_Toc425871368"/>
      <w:r/>
      <w:bookmarkStart w:id="312" w:name="_Toc383698696"/>
      <w:r/>
      <w:bookmarkStart w:id="313" w:name="_Toc382812298"/>
      <w:r/>
      <w:bookmarkStart w:id="314" w:name="_Toc382811589"/>
      <w:r/>
      <w:bookmarkStart w:id="315" w:name="_Toc390246954"/>
      <w:r>
        <w:rPr>
          <w:rFonts w:hint="eastAsia" w:ascii="宋体" w:hAnsi="宋体" w:cs="宋体"/>
          <w:sz w:val="28"/>
          <w:szCs w:val="21"/>
        </w:rPr>
        <w:t xml:space="preserve">2、技术</w:t>
      </w:r>
      <w:bookmarkEnd w:id="294"/>
      <w:r/>
      <w:bookmarkEnd w:id="295"/>
      <w:r/>
      <w:bookmarkEnd w:id="296"/>
      <w:r/>
      <w:bookmarkEnd w:id="297"/>
      <w:r/>
      <w:bookmarkEnd w:id="298"/>
      <w:r/>
      <w:bookmarkEnd w:id="299"/>
      <w:r>
        <w:rPr>
          <w:rFonts w:hint="eastAsia" w:ascii="宋体" w:hAnsi="宋体" w:cs="宋体"/>
          <w:sz w:val="28"/>
          <w:szCs w:val="21"/>
        </w:rPr>
        <w:t xml:space="preserve">规范</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卖方所提供服务的技术规格、内容应与招标文件规定的业务要求相一致；若技术性能无相应说明，则按国家有关部门最新颁布的标准及规范为准。</w:t>
      </w:r>
      <w:r/>
    </w:p>
    <w:p>
      <w:pPr>
        <w:ind w:firstLine="560"/>
        <w:jc w:val="left"/>
        <w:spacing w:line="500" w:lineRule="exact"/>
        <w:rPr>
          <w:rFonts w:ascii="宋体" w:hAnsi="宋体" w:cs="宋体"/>
          <w:sz w:val="28"/>
          <w:szCs w:val="21"/>
        </w:rPr>
      </w:pPr>
      <w:r/>
      <w:bookmarkStart w:id="316" w:name="_Toc120614226"/>
      <w:r/>
      <w:bookmarkStart w:id="317" w:name="_Toc390099068"/>
      <w:r/>
      <w:bookmarkStart w:id="318" w:name="_Toc382813937"/>
      <w:r/>
      <w:bookmarkStart w:id="319" w:name="_Toc425871369"/>
      <w:r/>
      <w:bookmarkStart w:id="320" w:name="_Toc513029247"/>
      <w:r/>
      <w:bookmarkStart w:id="321" w:name="_Toc382811185"/>
      <w:r/>
      <w:bookmarkStart w:id="322" w:name="_Toc382812299"/>
      <w:r/>
      <w:bookmarkStart w:id="323" w:name="_Toc20823319"/>
      <w:r/>
      <w:bookmarkStart w:id="324" w:name="_Toc383679797"/>
      <w:r/>
      <w:bookmarkStart w:id="325" w:name="_Toc383626044"/>
      <w:r/>
      <w:bookmarkStart w:id="326" w:name="_Toc16938563"/>
      <w:r/>
      <w:bookmarkStart w:id="327" w:name="_Toc390098890"/>
      <w:r/>
      <w:bookmarkStart w:id="328" w:name="_Toc382811590"/>
      <w:r/>
      <w:bookmarkStart w:id="329" w:name="_Toc288030336"/>
      <w:r/>
      <w:bookmarkStart w:id="330" w:name="_Toc383698697"/>
      <w:r/>
      <w:bookmarkStart w:id="331" w:name="_Toc383587509"/>
      <w:r/>
      <w:bookmarkStart w:id="332" w:name="_Toc390246955"/>
      <w:r/>
      <w:bookmarkStart w:id="333" w:name="_Toc383623723"/>
      <w:r/>
      <w:bookmarkStart w:id="334" w:name="_Toc282446300"/>
      <w:r/>
      <w:bookmarkStart w:id="335" w:name="_Toc383623995"/>
      <w:r/>
      <w:bookmarkStart w:id="336" w:name="_Toc382814018"/>
      <w:r/>
      <w:bookmarkStart w:id="337" w:name="_Toc382812488"/>
      <w:r>
        <w:rPr>
          <w:rFonts w:hint="eastAsia" w:ascii="宋体" w:hAnsi="宋体" w:cs="宋体"/>
          <w:sz w:val="28"/>
          <w:szCs w:val="21"/>
        </w:rPr>
        <w:t xml:space="preserve">3、专利权及版权</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r/>
    </w:p>
    <w:p>
      <w:pPr>
        <w:ind w:firstLine="560"/>
        <w:jc w:val="left"/>
        <w:spacing w:line="500" w:lineRule="exact"/>
        <w:rPr>
          <w:rFonts w:ascii="宋体" w:hAnsi="宋体" w:cs="宋体"/>
          <w:sz w:val="28"/>
          <w:szCs w:val="21"/>
        </w:rPr>
      </w:pPr>
      <w:r/>
      <w:bookmarkStart w:id="338" w:name="_Toc20823320"/>
      <w:r/>
      <w:bookmarkStart w:id="339" w:name="_Toc513029248"/>
      <w:r/>
      <w:bookmarkStart w:id="340" w:name="_Toc288030337"/>
      <w:r/>
      <w:bookmarkStart w:id="341" w:name="_Toc16938564"/>
      <w:r/>
      <w:bookmarkStart w:id="342" w:name="_Toc120614227"/>
      <w:r/>
      <w:bookmarkStart w:id="343" w:name="_Toc282446301"/>
      <w:r/>
      <w:bookmarkStart w:id="344" w:name="_Toc383698698"/>
      <w:r/>
      <w:bookmarkStart w:id="345" w:name="_Toc390098891"/>
      <w:r/>
      <w:bookmarkStart w:id="346" w:name="_Toc382813938"/>
      <w:r/>
      <w:bookmarkStart w:id="347" w:name="_Toc383623996"/>
      <w:r/>
      <w:bookmarkStart w:id="348" w:name="_Toc382814019"/>
      <w:r/>
      <w:bookmarkStart w:id="349" w:name="_Toc383587510"/>
      <w:r/>
      <w:bookmarkStart w:id="350" w:name="_Toc383679798"/>
      <w:r/>
      <w:bookmarkStart w:id="351" w:name="_Toc390099069"/>
      <w:r/>
      <w:bookmarkStart w:id="352" w:name="_Toc383623724"/>
      <w:r/>
      <w:bookmarkStart w:id="353" w:name="_Toc425871370"/>
      <w:r/>
      <w:bookmarkStart w:id="354" w:name="_Toc383626045"/>
      <w:r/>
      <w:bookmarkStart w:id="355" w:name="_Toc390246956"/>
      <w:r>
        <w:rPr>
          <w:rFonts w:hint="eastAsia" w:ascii="宋体" w:hAnsi="宋体" w:cs="宋体"/>
          <w:sz w:val="28"/>
          <w:szCs w:val="21"/>
        </w:rPr>
        <w:t xml:space="preserve">4、</w:t>
      </w:r>
      <w:bookmarkEnd w:id="338"/>
      <w:r/>
      <w:bookmarkEnd w:id="339"/>
      <w:r/>
      <w:bookmarkEnd w:id="340"/>
      <w:r/>
      <w:bookmarkEnd w:id="341"/>
      <w:r/>
      <w:bookmarkEnd w:id="342"/>
      <w:r/>
      <w:bookmarkEnd w:id="343"/>
      <w:r/>
      <w:bookmarkStart w:id="356" w:name="_Toc288030339"/>
      <w:r/>
      <w:bookmarkStart w:id="357" w:name="_Toc513029250"/>
      <w:r/>
      <w:bookmarkStart w:id="358" w:name="_Toc120614229"/>
      <w:r/>
      <w:bookmarkStart w:id="359" w:name="_Toc20823322"/>
      <w:r/>
      <w:bookmarkStart w:id="360" w:name="_Toc282446303"/>
      <w:r/>
      <w:bookmarkStart w:id="361" w:name="_Toc16938566"/>
      <w:r>
        <w:rPr>
          <w:rFonts w:hint="eastAsia" w:ascii="宋体" w:hAnsi="宋体" w:cs="宋体"/>
          <w:sz w:val="28"/>
          <w:szCs w:val="21"/>
        </w:rPr>
        <w:t xml:space="preserve">付款</w:t>
      </w:r>
      <w:bookmarkEnd w:id="356"/>
      <w:r/>
      <w:bookmarkEnd w:id="357"/>
      <w:r/>
      <w:bookmarkEnd w:id="358"/>
      <w:r/>
      <w:bookmarkEnd w:id="359"/>
      <w:r/>
      <w:bookmarkEnd w:id="360"/>
      <w:r/>
      <w:bookmarkEnd w:id="361"/>
      <w:r>
        <w:rPr>
          <w:rFonts w:hint="eastAsia" w:ascii="宋体" w:hAnsi="宋体" w:cs="宋体"/>
          <w:sz w:val="28"/>
          <w:szCs w:val="21"/>
        </w:rPr>
        <w:t xml:space="preserve">方式</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4.1本合同以人民币付款。</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4.2付款方式见合同专用条款。</w:t>
      </w:r>
      <w:r/>
    </w:p>
    <w:p>
      <w:pPr>
        <w:ind w:firstLine="560"/>
        <w:jc w:val="left"/>
        <w:spacing w:line="500" w:lineRule="exact"/>
        <w:rPr>
          <w:rFonts w:ascii="宋体" w:hAnsi="宋体" w:cs="宋体"/>
          <w:sz w:val="28"/>
          <w:szCs w:val="21"/>
        </w:rPr>
      </w:pPr>
      <w:r/>
      <w:bookmarkStart w:id="362" w:name="_Toc382813939"/>
      <w:r/>
      <w:bookmarkStart w:id="363" w:name="_Toc20823323"/>
      <w:r/>
      <w:bookmarkStart w:id="364" w:name="_Toc120614230"/>
      <w:r/>
      <w:bookmarkStart w:id="365" w:name="_Toc382811591"/>
      <w:r/>
      <w:bookmarkStart w:id="366" w:name="_Toc383623997"/>
      <w:r/>
      <w:bookmarkStart w:id="367" w:name="_Toc383623725"/>
      <w:r/>
      <w:bookmarkStart w:id="368" w:name="_Toc382814020"/>
      <w:r/>
      <w:bookmarkStart w:id="369" w:name="_Toc16938567"/>
      <w:r/>
      <w:bookmarkStart w:id="370" w:name="_Toc282446304"/>
      <w:r/>
      <w:bookmarkStart w:id="371" w:name="_Toc383587511"/>
      <w:r/>
      <w:bookmarkStart w:id="372" w:name="_Toc382812300"/>
      <w:r/>
      <w:bookmarkStart w:id="373" w:name="_Toc382811186"/>
      <w:r/>
      <w:bookmarkStart w:id="374" w:name="_Toc288030340"/>
      <w:r/>
      <w:bookmarkStart w:id="375" w:name="_Toc383698699"/>
      <w:r/>
      <w:bookmarkStart w:id="376" w:name="_Toc513029251"/>
      <w:r/>
      <w:bookmarkStart w:id="377" w:name="_Toc425871371"/>
      <w:r/>
      <w:bookmarkStart w:id="378" w:name="_Toc390098892"/>
      <w:r/>
      <w:bookmarkStart w:id="379" w:name="_Toc383679799"/>
      <w:r/>
      <w:bookmarkStart w:id="380" w:name="_Toc382812489"/>
      <w:r/>
      <w:bookmarkStart w:id="381" w:name="_Toc390246957"/>
      <w:r/>
      <w:bookmarkStart w:id="382" w:name="_Toc390099070"/>
      <w:r/>
      <w:bookmarkStart w:id="383" w:name="_Toc383626046"/>
      <w:r>
        <w:rPr>
          <w:rFonts w:hint="eastAsia" w:ascii="宋体" w:hAnsi="宋体" w:cs="宋体"/>
          <w:sz w:val="28"/>
          <w:szCs w:val="21"/>
        </w:rPr>
        <w:t xml:space="preserve">5、伴随服务</w:t>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5.1卖方应按照投标文件的承诺和合同中所附的服务承诺提供服务。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5.2 除本章第5.1条规定外，卖方还应提供下列服务：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 服务的现场质量管理与监督；</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 提供服务和维护所需的工具；</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(3)在合同中卖方承诺的期限内对所提供服务实施运行监督、维护，但前提条件是该服务并不能免除卖方在质量保证期内应承担的义务；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 对服务人员进行培训。</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5.3 伴随服务的费用应含在合同价中，不单独进行支付。</w:t>
      </w:r>
      <w:r/>
    </w:p>
    <w:p>
      <w:pPr>
        <w:ind w:firstLine="560"/>
        <w:jc w:val="left"/>
        <w:spacing w:line="500" w:lineRule="exact"/>
        <w:rPr>
          <w:rFonts w:ascii="宋体" w:hAnsi="宋体" w:cs="宋体"/>
          <w:sz w:val="28"/>
          <w:szCs w:val="21"/>
        </w:rPr>
      </w:pPr>
      <w:r/>
      <w:bookmarkStart w:id="384" w:name="_Toc382813940"/>
      <w:r/>
      <w:bookmarkStart w:id="385" w:name="_Toc288030341"/>
      <w:r/>
      <w:bookmarkStart w:id="386" w:name="_Toc383626047"/>
      <w:r/>
      <w:bookmarkStart w:id="387" w:name="_Toc383587512"/>
      <w:r/>
      <w:bookmarkStart w:id="388" w:name="_Toc383623726"/>
      <w:r/>
      <w:bookmarkStart w:id="389" w:name="_Toc382811187"/>
      <w:r/>
      <w:bookmarkStart w:id="390" w:name="_Toc383679800"/>
      <w:r/>
      <w:bookmarkStart w:id="391" w:name="_Toc513029252"/>
      <w:r/>
      <w:bookmarkStart w:id="392" w:name="_Toc382814021"/>
      <w:r/>
      <w:bookmarkStart w:id="393" w:name="_Toc425871372"/>
      <w:r/>
      <w:bookmarkStart w:id="394" w:name="_Toc383623998"/>
      <w:r/>
      <w:bookmarkStart w:id="395" w:name="_Toc16938568"/>
      <w:r/>
      <w:bookmarkStart w:id="396" w:name="_Toc390098893"/>
      <w:r/>
      <w:bookmarkStart w:id="397" w:name="_Toc390099071"/>
      <w:r/>
      <w:bookmarkStart w:id="398" w:name="_Toc120614231"/>
      <w:r/>
      <w:bookmarkStart w:id="399" w:name="_Toc20823324"/>
      <w:r/>
      <w:bookmarkStart w:id="400" w:name="_Toc383698700"/>
      <w:r/>
      <w:bookmarkStart w:id="401" w:name="_Toc390246958"/>
      <w:r/>
      <w:bookmarkStart w:id="402" w:name="_Toc382812490"/>
      <w:r/>
      <w:bookmarkStart w:id="403" w:name="_Toc382811592"/>
      <w:r/>
      <w:bookmarkStart w:id="404" w:name="_Toc382812301"/>
      <w:r/>
      <w:bookmarkStart w:id="405" w:name="_Toc282446305"/>
      <w:r>
        <w:rPr>
          <w:rFonts w:hint="eastAsia" w:ascii="宋体" w:hAnsi="宋体" w:cs="宋体"/>
          <w:sz w:val="28"/>
          <w:szCs w:val="21"/>
        </w:rPr>
        <w:t xml:space="preserve">6、质量保证</w:t>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6.1投标人所提供服务必须遵守各种国家和部颁标准及有关规定。</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6.2投标人所提供服务必须达到本招标文件中规定的要求。</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6.3履行本合同的过程中，确因在现有水平和条件下难以克服的技术困难，导致部分或全部达不到招标规定的服务标准，乙方应当承担违约责任。</w:t>
      </w:r>
      <w:r/>
    </w:p>
    <w:p>
      <w:pPr>
        <w:ind w:firstLine="560"/>
        <w:jc w:val="left"/>
        <w:spacing w:line="500" w:lineRule="exact"/>
        <w:rPr>
          <w:rFonts w:ascii="宋体" w:hAnsi="宋体" w:cs="宋体"/>
          <w:sz w:val="28"/>
          <w:szCs w:val="21"/>
        </w:rPr>
      </w:pPr>
      <w:r/>
      <w:bookmarkStart w:id="406" w:name="_Toc16938570"/>
      <w:r/>
      <w:bookmarkStart w:id="407" w:name="_Toc120614233"/>
      <w:r/>
      <w:bookmarkStart w:id="408" w:name="_Toc288030343"/>
      <w:r/>
      <w:bookmarkStart w:id="409" w:name="_Toc282446307"/>
      <w:r/>
      <w:bookmarkStart w:id="410" w:name="_Toc20823326"/>
      <w:r/>
      <w:bookmarkStart w:id="411" w:name="_Toc513029254"/>
      <w:r/>
      <w:bookmarkStart w:id="412" w:name="_Toc399658018"/>
      <w:r/>
      <w:bookmarkStart w:id="413" w:name="_Toc425871373"/>
      <w:r/>
      <w:bookmarkStart w:id="414" w:name="_Toc399227843"/>
      <w:r/>
      <w:bookmarkStart w:id="415" w:name="_Toc399853485"/>
      <w:r/>
      <w:bookmarkStart w:id="416" w:name="_Toc399228176"/>
      <w:r>
        <w:rPr>
          <w:rFonts w:hint="eastAsia" w:ascii="宋体" w:hAnsi="宋体" w:cs="宋体"/>
          <w:sz w:val="28"/>
          <w:szCs w:val="21"/>
        </w:rPr>
        <w:t xml:space="preserve">7、</w:t>
      </w:r>
      <w:bookmarkEnd w:id="406"/>
      <w:r/>
      <w:bookmarkEnd w:id="407"/>
      <w:r/>
      <w:bookmarkEnd w:id="408"/>
      <w:r/>
      <w:bookmarkEnd w:id="409"/>
      <w:r/>
      <w:bookmarkEnd w:id="410"/>
      <w:r/>
      <w:bookmarkEnd w:id="411"/>
      <w:r/>
      <w:bookmarkStart w:id="417" w:name="_Toc16938573"/>
      <w:r/>
      <w:bookmarkStart w:id="418" w:name="_Toc513029257"/>
      <w:r/>
      <w:bookmarkStart w:id="419" w:name="_Toc20823329"/>
      <w:r/>
      <w:bookmarkStart w:id="420" w:name="_Toc288030346"/>
      <w:r/>
      <w:bookmarkStart w:id="421" w:name="_Toc120614236"/>
      <w:r/>
      <w:bookmarkStart w:id="422" w:name="_Toc282446310"/>
      <w:r>
        <w:rPr>
          <w:rFonts w:hint="eastAsia" w:ascii="宋体" w:hAnsi="宋体" w:cs="宋体"/>
          <w:sz w:val="28"/>
          <w:szCs w:val="21"/>
        </w:rPr>
        <w:t xml:space="preserve">不可抗力</w:t>
      </w:r>
      <w:bookmarkEnd w:id="412"/>
      <w:r/>
      <w:bookmarkEnd w:id="413"/>
      <w:r/>
      <w:bookmarkEnd w:id="414"/>
      <w:r/>
      <w:bookmarkEnd w:id="415"/>
      <w:r/>
      <w:bookmarkEnd w:id="416"/>
      <w:r/>
      <w:bookmarkEnd w:id="417"/>
      <w:r/>
      <w:bookmarkEnd w:id="418"/>
      <w:r/>
      <w:bookmarkEnd w:id="419"/>
      <w:r/>
      <w:bookmarkEnd w:id="420"/>
      <w:r/>
      <w:bookmarkEnd w:id="421"/>
      <w:r/>
      <w:bookmarkEnd w:id="422"/>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7.1尽管有合同条款第11条、12条的规定，如果卖方因不可抗力而导致合同实施延误或不能履行合同义务的话，不应该被没收履约保证金，也不应该承担误期赔偿的责任。</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7.2本条所述的“不可抗力”系指那些卖方无法控制、不可预见的事件，但不包括卖方的违约或疏忽。这些事件包括：战争、严重火灾、洪水、台风、地震以及其它买方和卖方商定的事件。</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7.3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 </w:t>
      </w:r>
      <w:r>
        <w:rPr>
          <w:rFonts w:hint="eastAsia" w:ascii="宋体" w:hAnsi="宋体" w:cs="宋体"/>
          <w:sz w:val="28"/>
          <w:szCs w:val="21"/>
          <w:u w:val="single"/>
        </w:rPr>
        <w:t xml:space="preserve">         </w:t>
      </w:r>
      <w:r>
        <w:rPr>
          <w:rFonts w:hint="eastAsia" w:ascii="宋体" w:hAnsi="宋体" w:cs="宋体"/>
          <w:sz w:val="28"/>
          <w:szCs w:val="21"/>
        </w:rPr>
        <w:t xml:space="preserve">天以上时，买方有权终止与卖方的合同，买方也可以和卖方通过友好协商在合理的时间内达成进一步履行合同的协议。</w:t>
      </w:r>
      <w:r/>
    </w:p>
    <w:p>
      <w:pPr>
        <w:ind w:firstLine="560"/>
        <w:jc w:val="left"/>
        <w:spacing w:line="500" w:lineRule="exact"/>
        <w:rPr>
          <w:rFonts w:ascii="宋体" w:hAnsi="宋体" w:cs="宋体"/>
          <w:sz w:val="28"/>
          <w:szCs w:val="21"/>
        </w:rPr>
      </w:pPr>
      <w:r/>
      <w:bookmarkStart w:id="423" w:name="_Toc399228177"/>
      <w:r/>
      <w:bookmarkStart w:id="424" w:name="_Toc425871374"/>
      <w:r/>
      <w:bookmarkStart w:id="425" w:name="_Toc399853486"/>
      <w:r/>
      <w:bookmarkStart w:id="426" w:name="_Toc288030347"/>
      <w:r/>
      <w:bookmarkStart w:id="427" w:name="_Toc399227844"/>
      <w:r/>
      <w:bookmarkStart w:id="428" w:name="_Toc20823330"/>
      <w:r/>
      <w:bookmarkStart w:id="429" w:name="_Toc399658019"/>
      <w:r/>
      <w:bookmarkStart w:id="430" w:name="_Toc282446311"/>
      <w:r/>
      <w:bookmarkStart w:id="431" w:name="_Toc16938574"/>
      <w:r/>
      <w:bookmarkStart w:id="432" w:name="_Toc513029258"/>
      <w:r/>
      <w:bookmarkStart w:id="433" w:name="_Toc120614237"/>
      <w:r>
        <w:rPr>
          <w:rFonts w:hint="eastAsia" w:ascii="宋体" w:hAnsi="宋体" w:cs="宋体"/>
          <w:sz w:val="28"/>
          <w:szCs w:val="21"/>
        </w:rPr>
        <w:t xml:space="preserve">8、税费</w:t>
      </w:r>
      <w:bookmarkEnd w:id="423"/>
      <w:r/>
      <w:bookmarkEnd w:id="424"/>
      <w:r/>
      <w:bookmarkEnd w:id="425"/>
      <w:r/>
      <w:bookmarkEnd w:id="426"/>
      <w:r/>
      <w:bookmarkEnd w:id="427"/>
      <w:r/>
      <w:bookmarkEnd w:id="428"/>
      <w:r/>
      <w:bookmarkEnd w:id="429"/>
      <w:r/>
      <w:bookmarkEnd w:id="430"/>
      <w:r/>
      <w:bookmarkEnd w:id="431"/>
      <w:r/>
      <w:bookmarkEnd w:id="432"/>
      <w:r/>
      <w:bookmarkEnd w:id="433"/>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8.1本项目实施过程中发生的一切税费均由卖方负担。</w:t>
      </w:r>
      <w:r/>
    </w:p>
    <w:p>
      <w:pPr>
        <w:ind w:firstLine="560"/>
        <w:jc w:val="left"/>
        <w:spacing w:line="500" w:lineRule="exact"/>
        <w:rPr>
          <w:rFonts w:ascii="宋体" w:hAnsi="宋体" w:cs="宋体"/>
          <w:sz w:val="28"/>
          <w:szCs w:val="21"/>
        </w:rPr>
      </w:pPr>
      <w:r/>
      <w:bookmarkStart w:id="434" w:name="_Toc399228178"/>
      <w:r/>
      <w:bookmarkStart w:id="435" w:name="_Toc425871375"/>
      <w:r/>
      <w:bookmarkStart w:id="436" w:name="_Toc399227845"/>
      <w:r/>
      <w:bookmarkStart w:id="437" w:name="_Toc20823331"/>
      <w:r/>
      <w:bookmarkStart w:id="438" w:name="_Toc16938575"/>
      <w:r/>
      <w:bookmarkStart w:id="439" w:name="_Toc399853487"/>
      <w:r/>
      <w:bookmarkStart w:id="440" w:name="_Toc282446312"/>
      <w:r/>
      <w:bookmarkStart w:id="441" w:name="_Toc120614238"/>
      <w:r/>
      <w:bookmarkStart w:id="442" w:name="_Toc288030348"/>
      <w:r/>
      <w:bookmarkStart w:id="443" w:name="_Toc399658020"/>
      <w:r/>
      <w:bookmarkStart w:id="444" w:name="_Toc513029259"/>
      <w:r>
        <w:rPr>
          <w:rFonts w:hint="eastAsia" w:ascii="宋体" w:hAnsi="宋体" w:cs="宋体"/>
          <w:sz w:val="28"/>
          <w:szCs w:val="21"/>
        </w:rPr>
        <w:t xml:space="preserve">9、履约保证金</w:t>
      </w:r>
      <w:bookmarkEnd w:id="434"/>
      <w:r/>
      <w:bookmarkEnd w:id="435"/>
      <w:r/>
      <w:bookmarkEnd w:id="436"/>
      <w:r/>
      <w:bookmarkEnd w:id="437"/>
      <w:r/>
      <w:bookmarkEnd w:id="438"/>
      <w:r/>
      <w:bookmarkEnd w:id="439"/>
      <w:r/>
      <w:bookmarkEnd w:id="440"/>
      <w:r/>
      <w:bookmarkEnd w:id="441"/>
      <w:r/>
      <w:bookmarkEnd w:id="442"/>
      <w:r/>
      <w:bookmarkEnd w:id="443"/>
      <w:r/>
      <w:bookmarkEnd w:id="444"/>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9.1中标人与采购人签订政府采购合同前，须提交履约保证金，否则视为放弃中标，给采购人造成损失的，中标人还应当予以赔偿。</w:t>
      </w:r>
      <w:r/>
    </w:p>
    <w:p>
      <w:pPr>
        <w:ind w:firstLine="560"/>
        <w:jc w:val="left"/>
        <w:spacing w:line="500" w:lineRule="exact"/>
        <w:rPr>
          <w:rFonts w:ascii="宋体" w:hAnsi="宋体" w:cs="宋体"/>
          <w:sz w:val="28"/>
          <w:szCs w:val="21"/>
        </w:rPr>
      </w:pPr>
      <w:r>
        <w:rPr>
          <w:rFonts w:ascii="宋体" w:hAnsi="宋体" w:cs="宋体"/>
          <w:sz w:val="28"/>
          <w:szCs w:val="21"/>
        </w:rPr>
        <w:t xml:space="preserve">履约</w:t>
      </w:r>
      <w:r>
        <w:rPr>
          <w:rFonts w:hint="eastAsia" w:ascii="宋体" w:hAnsi="宋体" w:cs="宋体"/>
          <w:sz w:val="28"/>
          <w:szCs w:val="21"/>
        </w:rPr>
        <w:t xml:space="preserve">保证金</w:t>
      </w:r>
      <w:r>
        <w:rPr>
          <w:rFonts w:ascii="宋体" w:hAnsi="宋体" w:cs="宋体"/>
          <w:sz w:val="28"/>
          <w:szCs w:val="21"/>
        </w:rPr>
        <w:t xml:space="preserve">的形式：支票、汇票、本票或者金融机构、担保机构出具的保函等非现金形式</w:t>
      </w:r>
      <w:r/>
    </w:p>
    <w:p>
      <w:pPr>
        <w:ind w:firstLine="560"/>
        <w:jc w:val="left"/>
        <w:spacing w:line="500" w:lineRule="exact"/>
        <w:rPr>
          <w:rFonts w:ascii="宋体" w:hAnsi="宋体" w:cs="宋体"/>
          <w:sz w:val="28"/>
          <w:szCs w:val="21"/>
        </w:rPr>
      </w:pPr>
      <w:r>
        <w:rPr>
          <w:rFonts w:ascii="宋体" w:hAnsi="宋体" w:cs="宋体"/>
          <w:sz w:val="28"/>
          <w:szCs w:val="21"/>
        </w:rPr>
        <w:t xml:space="preserve">履约</w:t>
      </w:r>
      <w:r>
        <w:rPr>
          <w:rFonts w:hint="eastAsia" w:ascii="宋体" w:hAnsi="宋体" w:cs="宋体"/>
          <w:sz w:val="28"/>
          <w:szCs w:val="21"/>
        </w:rPr>
        <w:t xml:space="preserve">保证金</w:t>
      </w:r>
      <w:r>
        <w:rPr>
          <w:rFonts w:ascii="宋体" w:hAnsi="宋体" w:cs="宋体"/>
          <w:sz w:val="28"/>
          <w:szCs w:val="21"/>
        </w:rPr>
        <w:t xml:space="preserve">的金额：</w:t>
      </w:r>
      <w:r>
        <w:rPr>
          <w:rFonts w:hint="eastAsia" w:ascii="宋体" w:hAnsi="宋体" w:cs="宋体"/>
          <w:sz w:val="28"/>
          <w:szCs w:val="21"/>
        </w:rPr>
        <w:t xml:space="preserve">无需缴纳履约保证金。</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9.2如卖方未能履行合同规定的义务，买方有权从履约保证金中取得补偿。</w:t>
      </w:r>
      <w:r/>
    </w:p>
    <w:p>
      <w:pPr>
        <w:ind w:firstLine="560"/>
        <w:jc w:val="left"/>
        <w:spacing w:line="500" w:lineRule="exact"/>
        <w:rPr>
          <w:rFonts w:ascii="宋体" w:hAnsi="宋体" w:cs="宋体"/>
          <w:sz w:val="28"/>
          <w:szCs w:val="21"/>
        </w:rPr>
      </w:pPr>
      <w:r/>
      <w:bookmarkStart w:id="445" w:name="_Toc16938576"/>
      <w:r/>
      <w:bookmarkStart w:id="446" w:name="_Toc20823332"/>
      <w:r/>
      <w:bookmarkStart w:id="447" w:name="_Toc399658021"/>
      <w:r/>
      <w:bookmarkStart w:id="448" w:name="_Toc513029260"/>
      <w:r/>
      <w:bookmarkStart w:id="449" w:name="_Toc399853488"/>
      <w:r/>
      <w:bookmarkStart w:id="450" w:name="_Toc399227846"/>
      <w:r/>
      <w:bookmarkStart w:id="451" w:name="_Toc399228179"/>
      <w:r/>
      <w:bookmarkStart w:id="452" w:name="_Toc282446313"/>
      <w:r/>
      <w:bookmarkStart w:id="453" w:name="_Toc120614239"/>
      <w:r/>
      <w:bookmarkStart w:id="454" w:name="_Toc425871376"/>
      <w:r/>
      <w:bookmarkStart w:id="455" w:name="_Toc288030349"/>
      <w:r/>
      <w:bookmarkStart w:id="456" w:name="_Toc462564119"/>
      <w:r>
        <w:rPr>
          <w:rFonts w:hint="eastAsia" w:ascii="宋体" w:hAnsi="宋体" w:cs="宋体"/>
          <w:sz w:val="28"/>
          <w:szCs w:val="21"/>
        </w:rPr>
        <w:t xml:space="preserve">10、仲裁</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10.1在执行本合同中所发生的或与本合同有关的一切争端，买方和卖方应通过友好协商的办法进行解决。如从协商开始</w:t>
      </w:r>
      <w:r>
        <w:rPr>
          <w:rFonts w:hint="eastAsia" w:ascii="宋体" w:hAnsi="宋体" w:cs="宋体"/>
          <w:sz w:val="28"/>
          <w:szCs w:val="21"/>
          <w:u w:val="single"/>
        </w:rPr>
        <w:t xml:space="preserve">         </w:t>
      </w:r>
      <w:r>
        <w:rPr>
          <w:rFonts w:hint="eastAsia" w:ascii="宋体" w:hAnsi="宋体" w:cs="宋体"/>
          <w:sz w:val="28"/>
          <w:szCs w:val="21"/>
        </w:rPr>
        <w:t xml:space="preserve">天内仍不能解决，应将争端提交有关省、市政府或行业主管部门寻求可能解决的办法。如果提交有关省、市政府或行业主管部门后</w:t>
      </w:r>
      <w:r>
        <w:rPr>
          <w:rFonts w:hint="eastAsia" w:ascii="宋体" w:hAnsi="宋体" w:cs="宋体"/>
          <w:sz w:val="28"/>
          <w:szCs w:val="21"/>
          <w:u w:val="single"/>
        </w:rPr>
        <w:t xml:space="preserve">     </w:t>
      </w:r>
      <w:r>
        <w:rPr>
          <w:rFonts w:hint="eastAsia" w:ascii="宋体" w:hAnsi="宋体" w:cs="宋体"/>
          <w:sz w:val="28"/>
          <w:szCs w:val="21"/>
        </w:rPr>
        <w:t xml:space="preserve">天内仍得不到解决，则应申请仲裁。</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10.2仲裁应根据《中华人民共和国仲裁法》的规定向泰州仲裁委员会申请仲裁。</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10.3仲裁裁决为最终裁决，对买方和卖方均有约束力。</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10.4在仲裁期间，本合同应继续执行。</w:t>
      </w:r>
      <w:r/>
    </w:p>
    <w:p>
      <w:pPr>
        <w:ind w:firstLine="560"/>
        <w:jc w:val="left"/>
        <w:spacing w:line="500" w:lineRule="exact"/>
        <w:rPr>
          <w:rFonts w:ascii="宋体" w:hAnsi="宋体" w:cs="宋体"/>
          <w:sz w:val="28"/>
          <w:szCs w:val="21"/>
        </w:rPr>
      </w:pPr>
      <w:r/>
      <w:bookmarkStart w:id="457" w:name="_Toc282446314"/>
      <w:r/>
      <w:bookmarkStart w:id="458" w:name="_Toc120614240"/>
      <w:r/>
      <w:bookmarkStart w:id="459" w:name="_Toc513029261"/>
      <w:r/>
      <w:bookmarkStart w:id="460" w:name="_Toc399228180"/>
      <w:r/>
      <w:bookmarkStart w:id="461" w:name="_Toc425871377"/>
      <w:r/>
      <w:bookmarkStart w:id="462" w:name="_Toc20823333"/>
      <w:r/>
      <w:bookmarkStart w:id="463" w:name="_Toc16938577"/>
      <w:r/>
      <w:bookmarkStart w:id="464" w:name="_Toc399227847"/>
      <w:r/>
      <w:bookmarkStart w:id="465" w:name="_Toc399658022"/>
      <w:r/>
      <w:bookmarkStart w:id="466" w:name="_Toc462564120"/>
      <w:r/>
      <w:bookmarkStart w:id="467" w:name="_Toc399853489"/>
      <w:r/>
      <w:bookmarkStart w:id="468" w:name="_Toc288030350"/>
      <w:r>
        <w:rPr>
          <w:rFonts w:hint="eastAsia" w:ascii="宋体" w:hAnsi="宋体" w:cs="宋体"/>
          <w:sz w:val="28"/>
          <w:szCs w:val="21"/>
        </w:rPr>
        <w:t xml:space="preserve">11、违约终止合同</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11.1在买方对卖方违约而采取的任何补救措施不受影响的情况下，买方可向卖方发出终止部分或全部合同的书面通知书。</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(1)如果卖方未能按合同规定的期限或买方同意延长的限期内提供部分或全部服务；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(2)卖方在收到买方发出的违约通知后</w:t>
      </w:r>
      <w:r>
        <w:rPr>
          <w:rFonts w:hint="eastAsia" w:ascii="宋体" w:hAnsi="宋体" w:cs="宋体"/>
          <w:sz w:val="28"/>
          <w:szCs w:val="21"/>
          <w:u w:val="single"/>
        </w:rPr>
        <w:t xml:space="preserve">     </w:t>
      </w:r>
      <w:r>
        <w:rPr>
          <w:rFonts w:hint="eastAsia" w:ascii="宋体" w:hAnsi="宋体" w:cs="宋体"/>
          <w:sz w:val="28"/>
          <w:szCs w:val="21"/>
        </w:rPr>
        <w:t xml:space="preserve">天内，或经买方书面认可延长的时间内未能纠正其过失；</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 (3)如果卖方未能履行合同规定的其他义务。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11.2在买方根据上述规定，终止了全部或部分合同后，买方可以依其认为适当的条件和方法购买与未提供服务类似的服务，卖方应对买方购买类似服务所超出的那部分费用负责。但是，卖方应继续执行合同中未终止的部分。</w:t>
      </w:r>
      <w:r/>
    </w:p>
    <w:p>
      <w:pPr>
        <w:ind w:firstLine="560"/>
        <w:jc w:val="left"/>
        <w:spacing w:line="500" w:lineRule="exact"/>
        <w:rPr>
          <w:rFonts w:ascii="宋体" w:hAnsi="宋体" w:cs="宋体"/>
          <w:sz w:val="28"/>
          <w:szCs w:val="21"/>
        </w:rPr>
      </w:pPr>
      <w:r/>
      <w:bookmarkStart w:id="469" w:name="_Toc462564121"/>
      <w:r/>
      <w:bookmarkStart w:id="470" w:name="_Toc425871378"/>
      <w:r/>
      <w:bookmarkStart w:id="471" w:name="_Toc120614241"/>
      <w:r/>
      <w:bookmarkStart w:id="472" w:name="_Toc513029262"/>
      <w:r/>
      <w:bookmarkStart w:id="473" w:name="_Toc20823334"/>
      <w:r/>
      <w:bookmarkStart w:id="474" w:name="_Toc399853490"/>
      <w:r/>
      <w:bookmarkStart w:id="475" w:name="_Toc399228181"/>
      <w:r/>
      <w:bookmarkStart w:id="476" w:name="_Toc399227848"/>
      <w:r/>
      <w:bookmarkStart w:id="477" w:name="_Toc288030351"/>
      <w:r/>
      <w:bookmarkStart w:id="478" w:name="_Toc399658023"/>
      <w:r/>
      <w:bookmarkStart w:id="479" w:name="_Toc282446315"/>
      <w:r/>
      <w:bookmarkStart w:id="480" w:name="_Toc16938578"/>
      <w:r>
        <w:rPr>
          <w:rFonts w:hint="eastAsia" w:ascii="宋体" w:hAnsi="宋体" w:cs="宋体"/>
          <w:sz w:val="28"/>
          <w:szCs w:val="21"/>
        </w:rPr>
        <w:t xml:space="preserve">12、破产中止合同</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12.1如果卖方破产或无清偿能力时，买方在任何时候书面通知卖方中止合同而不给卖方补偿。该中止合同将不损害或影响买方已经或将要采取的补救措施的权利。</w:t>
      </w:r>
      <w:r/>
    </w:p>
    <w:p>
      <w:pPr>
        <w:ind w:firstLine="560"/>
        <w:jc w:val="left"/>
        <w:spacing w:line="500" w:lineRule="exact"/>
        <w:rPr>
          <w:rFonts w:ascii="宋体" w:hAnsi="宋体" w:cs="宋体"/>
          <w:sz w:val="28"/>
          <w:szCs w:val="21"/>
        </w:rPr>
      </w:pPr>
      <w:r/>
      <w:bookmarkStart w:id="481" w:name="_Toc462564122"/>
      <w:r/>
      <w:bookmarkStart w:id="482" w:name="_Toc20823335"/>
      <w:r/>
      <w:bookmarkStart w:id="483" w:name="_Toc288030352"/>
      <w:r/>
      <w:bookmarkStart w:id="484" w:name="_Toc513029263"/>
      <w:r/>
      <w:bookmarkStart w:id="485" w:name="_Toc120614242"/>
      <w:r/>
      <w:bookmarkStart w:id="486" w:name="_Toc16938579"/>
      <w:r/>
      <w:bookmarkStart w:id="487" w:name="_Toc399227849"/>
      <w:r/>
      <w:bookmarkStart w:id="488" w:name="_Toc282446316"/>
      <w:r/>
      <w:bookmarkStart w:id="489" w:name="_Toc399853491"/>
      <w:r/>
      <w:bookmarkStart w:id="490" w:name="_Toc399228182"/>
      <w:r/>
      <w:bookmarkStart w:id="491" w:name="_Toc399658024"/>
      <w:r/>
      <w:bookmarkStart w:id="492" w:name="_Toc425871379"/>
      <w:r>
        <w:rPr>
          <w:rFonts w:hint="eastAsia" w:ascii="宋体" w:hAnsi="宋体" w:cs="宋体"/>
          <w:sz w:val="28"/>
          <w:szCs w:val="21"/>
        </w:rPr>
        <w:t xml:space="preserve">13、转让</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13.1除买方事先书面同意外，卖方不得部分转让或全部转让其应履行的合同义务。</w:t>
      </w:r>
      <w:r/>
    </w:p>
    <w:p>
      <w:pPr>
        <w:ind w:firstLine="560"/>
        <w:jc w:val="left"/>
        <w:spacing w:line="500" w:lineRule="exact"/>
        <w:rPr>
          <w:rFonts w:ascii="宋体" w:hAnsi="宋体" w:cs="宋体"/>
          <w:sz w:val="28"/>
          <w:szCs w:val="21"/>
        </w:rPr>
      </w:pPr>
      <w:r/>
      <w:bookmarkStart w:id="493" w:name="_Toc20823336"/>
      <w:r/>
      <w:bookmarkStart w:id="494" w:name="_Toc513029264"/>
      <w:r/>
      <w:bookmarkStart w:id="495" w:name="_Toc425871380"/>
      <w:r/>
      <w:bookmarkStart w:id="496" w:name="_Toc399228183"/>
      <w:r/>
      <w:bookmarkStart w:id="497" w:name="_Toc288030353"/>
      <w:r/>
      <w:bookmarkStart w:id="498" w:name="_Toc399658025"/>
      <w:r/>
      <w:bookmarkStart w:id="499" w:name="_Toc282446317"/>
      <w:r/>
      <w:bookmarkStart w:id="500" w:name="_Toc16938580"/>
      <w:r/>
      <w:bookmarkStart w:id="501" w:name="_Toc399853492"/>
      <w:r/>
      <w:bookmarkStart w:id="502" w:name="_Toc399227850"/>
      <w:r/>
      <w:bookmarkStart w:id="503" w:name="_Toc462564123"/>
      <w:r/>
      <w:bookmarkStart w:id="504" w:name="_Toc120614243"/>
      <w:r>
        <w:rPr>
          <w:rFonts w:hint="eastAsia" w:ascii="宋体" w:hAnsi="宋体" w:cs="宋体"/>
          <w:sz w:val="28"/>
          <w:szCs w:val="21"/>
        </w:rPr>
        <w:t xml:space="preserve">14、合同生效及其它</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14.1合同应在买方、卖方、见证方签字，并在卖方向见证方交纳履约保证金后生效。</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14.2本合同一式</w:t>
      </w:r>
      <w:r>
        <w:rPr>
          <w:rFonts w:hint="eastAsia" w:ascii="宋体" w:hAnsi="宋体" w:cs="宋体"/>
          <w:sz w:val="28"/>
          <w:szCs w:val="21"/>
          <w:u w:val="single"/>
        </w:rPr>
        <w:t xml:space="preserve">    </w:t>
      </w:r>
      <w:r>
        <w:rPr>
          <w:rFonts w:hint="eastAsia" w:ascii="宋体" w:hAnsi="宋体" w:cs="宋体"/>
          <w:sz w:val="28"/>
          <w:szCs w:val="21"/>
        </w:rPr>
        <w:t xml:space="preserve">份，以中文书写，买方 份，卖方、见证方、各执 </w:t>
      </w:r>
      <w:r>
        <w:rPr>
          <w:rFonts w:hint="eastAsia" w:ascii="宋体" w:hAnsi="宋体" w:cs="宋体"/>
          <w:sz w:val="28"/>
          <w:szCs w:val="21"/>
          <w:u w:val="single"/>
        </w:rPr>
        <w:t xml:space="preserve">     </w:t>
      </w:r>
      <w:r>
        <w:rPr>
          <w:rFonts w:hint="eastAsia" w:ascii="宋体" w:hAnsi="宋体" w:cs="宋体"/>
          <w:sz w:val="28"/>
          <w:szCs w:val="21"/>
        </w:rPr>
        <w:t xml:space="preserve"> 份。</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14.3如需修改或补充合同内容，应经买方、卖方、见证方协商一致，签署书面修改或补充协议。该协议将作为本合同不可分割的一部分。</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14.4本合同应按照中华人民共和国的现行法律进行解释。</w:t>
      </w:r>
      <w:r/>
    </w:p>
    <w:p>
      <w:pPr>
        <w:ind w:firstLine="562"/>
        <w:spacing w:line="500" w:lineRule="exact"/>
        <w:rPr>
          <w:b/>
          <w:bCs/>
          <w:sz w:val="28"/>
          <w:szCs w:val="28"/>
        </w:rPr>
        <w:outlineLvl w:val="1"/>
      </w:pPr>
      <w:r>
        <w:rPr>
          <w:rFonts w:hint="eastAsia" w:ascii="宋体" w:hAnsi="宋体" w:cs="Arial"/>
          <w:b/>
          <w:bCs/>
          <w:color w:val="000000"/>
          <w:sz w:val="28"/>
          <w:szCs w:val="28"/>
        </w:rPr>
        <w:t xml:space="preserve">二、专用合同条款部分</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甲方: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乙方: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甲乙双方根据政府采购编号</w:t>
      </w:r>
      <w:r>
        <w:rPr>
          <w:rFonts w:hint="eastAsia" w:ascii="宋体" w:hAnsi="宋体" w:cs="宋体"/>
          <w:sz w:val="28"/>
          <w:szCs w:val="28"/>
          <w:u w:val="single"/>
        </w:rPr>
        <w:t xml:space="preserve">                    </w:t>
      </w:r>
      <w:r>
        <w:rPr>
          <w:rFonts w:hint="eastAsia" w:ascii="宋体" w:hAnsi="宋体" w:cs="宋体"/>
          <w:sz w:val="28"/>
          <w:szCs w:val="28"/>
        </w:rPr>
        <w:t xml:space="preserve">的</w:t>
      </w:r>
      <w:r>
        <w:rPr>
          <w:rFonts w:hint="eastAsia" w:ascii="宋体" w:hAnsi="宋体" w:cs="宋体"/>
          <w:sz w:val="28"/>
          <w:szCs w:val="28"/>
          <w:u w:val="single"/>
        </w:rPr>
        <w:t xml:space="preserve">         </w:t>
      </w:r>
      <w:r>
        <w:rPr>
          <w:rFonts w:hint="eastAsia" w:ascii="宋体" w:hAnsi="宋体" w:cs="宋体"/>
          <w:sz w:val="28"/>
          <w:szCs w:val="28"/>
        </w:rPr>
        <w:t xml:space="preserve">项目采购结果及招标文件的要求,经协商一致,达成如下采购服务合同:</w:t>
      </w:r>
      <w:r/>
    </w:p>
    <w:p>
      <w:pPr>
        <w:ind w:firstLine="560"/>
        <w:jc w:val="left"/>
        <w:spacing w:line="500" w:lineRule="exact"/>
        <w:rPr>
          <w:rFonts w:ascii="宋体" w:hAnsi="宋体"/>
          <w:sz w:val="28"/>
          <w:szCs w:val="28"/>
        </w:rPr>
      </w:pPr>
      <w:r>
        <w:rPr>
          <w:rFonts w:hint="eastAsia" w:ascii="宋体" w:hAnsi="宋体" w:cs="宋体"/>
          <w:sz w:val="28"/>
          <w:szCs w:val="28"/>
        </w:rPr>
        <w:t xml:space="preserve">根据《中华人民共和国政府采购法》、《中华人民共和国民法典》和相关行业法律法规等法律法规的规定，甲乙双方按照**的招标结果</w:t>
      </w:r>
      <w:r>
        <w:rPr>
          <w:rFonts w:hint="eastAsia" w:ascii="宋体" w:hAnsi="宋体"/>
          <w:sz w:val="28"/>
          <w:szCs w:val="28"/>
        </w:rPr>
        <w:t xml:space="preserve">签订本合同。</w:t>
      </w:r>
      <w:r/>
    </w:p>
    <w:p>
      <w:pPr>
        <w:ind w:firstLine="562"/>
        <w:spacing w:line="500" w:lineRule="exact"/>
        <w:rPr>
          <w:rFonts w:ascii="宋体" w:hAnsi="宋体"/>
          <w:b/>
          <w:sz w:val="28"/>
          <w:szCs w:val="28"/>
        </w:rPr>
      </w:pPr>
      <w:r>
        <w:rPr>
          <w:rFonts w:hint="eastAsia" w:ascii="宋体" w:hAnsi="宋体"/>
          <w:b/>
          <w:sz w:val="28"/>
          <w:szCs w:val="28"/>
        </w:rPr>
        <w:t xml:space="preserve">一、项目概况</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1.1 项目名称：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1.2 项目地点：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1.3 项目内容： </w:t>
      </w:r>
      <w:r>
        <w:rPr>
          <w:rFonts w:hint="eastAsia" w:ascii="宋体" w:hAnsi="宋体" w:cs="宋体"/>
          <w:sz w:val="28"/>
          <w:szCs w:val="28"/>
          <w:u w:val="single"/>
        </w:rPr>
        <w:t xml:space="preserve">                      </w:t>
      </w:r>
      <w:r/>
    </w:p>
    <w:p>
      <w:pPr>
        <w:ind w:firstLine="560"/>
        <w:spacing w:line="500" w:lineRule="exact"/>
        <w:rPr>
          <w:rFonts w:ascii="宋体" w:hAnsi="宋体" w:cs="宋体"/>
          <w:sz w:val="28"/>
          <w:szCs w:val="28"/>
          <w:u w:val="single"/>
        </w:rPr>
      </w:pPr>
      <w:r>
        <w:rPr>
          <w:rFonts w:hint="eastAsia" w:ascii="宋体" w:hAnsi="宋体" w:cs="宋体"/>
          <w:sz w:val="28"/>
          <w:szCs w:val="28"/>
        </w:rPr>
        <w:t xml:space="preserve">1.4 合同价款：</w:t>
      </w:r>
      <w:r>
        <w:rPr>
          <w:rFonts w:hint="eastAsia" w:ascii="宋体" w:hAnsi="宋体" w:cs="宋体"/>
          <w:sz w:val="28"/>
          <w:szCs w:val="28"/>
          <w:u w:val="single"/>
        </w:rPr>
        <w:t xml:space="preserve">                       </w:t>
      </w:r>
      <w:r/>
    </w:p>
    <w:p>
      <w:pPr>
        <w:ind w:firstLine="562"/>
        <w:spacing w:line="500" w:lineRule="exact"/>
        <w:rPr>
          <w:rFonts w:ascii="宋体" w:hAnsi="宋体"/>
          <w:b/>
          <w:sz w:val="28"/>
          <w:szCs w:val="28"/>
        </w:rPr>
      </w:pPr>
      <w:r>
        <w:rPr>
          <w:rFonts w:hint="eastAsia" w:ascii="宋体" w:hAnsi="宋体"/>
          <w:b/>
          <w:sz w:val="28"/>
          <w:szCs w:val="28"/>
        </w:rPr>
        <w:t xml:space="preserve">二．定义</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l“合同”系指甲方和乙方（以下简称合同双方）签署的、合同格式中列明的合同双方所达成的协议，包括所有的附件、附录、招标、投标文件全部内容及对招、投标文件书面修正、澄清的内容等以及构成合同的所有文件。</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2.2“合同价格”系指根据合同规定，在乙方全面正确地履行合同义务后甲方应支付给乙方的价格。</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2.3“甲方”系指采购人。</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2.4“乙方”系指中标人。</w:t>
      </w:r>
      <w:r/>
    </w:p>
    <w:p>
      <w:pPr>
        <w:ind w:firstLine="420"/>
        <w:spacing w:line="500" w:lineRule="exact"/>
        <w:rPr>
          <w:rFonts w:ascii="宋体" w:hAnsi="宋体"/>
          <w:b/>
          <w:sz w:val="28"/>
          <w:szCs w:val="28"/>
        </w:rPr>
      </w:pPr>
      <w:r>
        <w:rPr>
          <w:rFonts w:hint="eastAsia" w:ascii="宋体" w:hAnsi="宋体"/>
          <w:sz w:val="28"/>
          <w:szCs w:val="28"/>
        </w:rPr>
        <w:t xml:space="preserve"> </w:t>
      </w:r>
      <w:r>
        <w:rPr>
          <w:rFonts w:hint="eastAsia" w:ascii="宋体" w:hAnsi="宋体"/>
          <w:b/>
          <w:sz w:val="28"/>
          <w:szCs w:val="28"/>
        </w:rPr>
        <w:t xml:space="preserve">三.适用范围</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3.l本合同条款适用于本次招标项目。</w:t>
      </w:r>
      <w:r/>
    </w:p>
    <w:p>
      <w:pPr>
        <w:ind w:firstLine="562"/>
        <w:spacing w:line="500" w:lineRule="exact"/>
        <w:rPr>
          <w:rFonts w:ascii="宋体" w:hAnsi="宋体"/>
          <w:sz w:val="28"/>
          <w:szCs w:val="28"/>
        </w:rPr>
      </w:pPr>
      <w:r>
        <w:rPr>
          <w:rFonts w:hint="eastAsia" w:ascii="宋体" w:hAnsi="宋体"/>
          <w:b/>
          <w:sz w:val="28"/>
          <w:szCs w:val="28"/>
        </w:rPr>
        <w:t xml:space="preserve">四.服务工作执行技术标准、验收标准及工期：</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1、技术标准与招标文件一致。</w:t>
      </w:r>
      <w:r/>
    </w:p>
    <w:p>
      <w:pPr>
        <w:ind w:firstLine="560"/>
        <w:spacing w:line="500" w:lineRule="exact"/>
        <w:rPr>
          <w:rFonts w:ascii="宋体" w:hAnsi="宋体"/>
          <w:sz w:val="28"/>
          <w:szCs w:val="28"/>
        </w:rPr>
      </w:pPr>
      <w:r>
        <w:rPr>
          <w:rFonts w:hint="eastAsia" w:ascii="宋体" w:hAnsi="宋体"/>
          <w:sz w:val="28"/>
          <w:szCs w:val="28"/>
        </w:rPr>
        <w:t xml:space="preserve">2、验收时间及标准：</w:t>
      </w:r>
      <w:r/>
    </w:p>
    <w:p>
      <w:pPr>
        <w:pStyle w:val="650"/>
        <w:ind w:firstLine="560"/>
        <w:spacing w:line="500" w:lineRule="exact"/>
      </w:pPr>
      <w:r>
        <w:rPr>
          <w:rFonts w:hint="eastAsia" w:ascii="宋体" w:hAnsi="宋体" w:cs="宋体"/>
          <w:sz w:val="28"/>
          <w:szCs w:val="28"/>
        </w:rPr>
        <w:t xml:space="preserve">3、项目履行期限：</w:t>
      </w:r>
      <w:r/>
    </w:p>
    <w:p>
      <w:pPr>
        <w:ind w:firstLine="562"/>
        <w:spacing w:line="500" w:lineRule="exact"/>
        <w:rPr>
          <w:rFonts w:ascii="宋体" w:hAnsi="宋体" w:cs="宋体"/>
          <w:sz w:val="28"/>
          <w:szCs w:val="28"/>
        </w:rPr>
      </w:pPr>
      <w:r>
        <w:rPr>
          <w:rFonts w:hint="eastAsia" w:ascii="宋体" w:hAnsi="宋体"/>
          <w:b/>
          <w:sz w:val="28"/>
          <w:szCs w:val="28"/>
        </w:rPr>
        <w:t xml:space="preserve">五.</w:t>
      </w:r>
      <w:r>
        <w:rPr>
          <w:rFonts w:hint="eastAsia" w:ascii="宋体" w:hAnsi="宋体" w:cs="宋体"/>
          <w:sz w:val="28"/>
          <w:szCs w:val="28"/>
        </w:rPr>
        <w:t xml:space="preserve">项目经费来源、价款以及支付方式</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1、经费来源：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2、项目价款： </w:t>
      </w:r>
      <w:r/>
    </w:p>
    <w:p>
      <w:pPr>
        <w:ind w:firstLine="560"/>
        <w:jc w:val="left"/>
        <w:spacing w:line="500" w:lineRule="exact"/>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 1 \* GB2 </w:instrText>
      </w:r>
      <w:r>
        <w:rPr>
          <w:rFonts w:hint="eastAsia" w:ascii="宋体" w:hAnsi="宋体" w:cs="宋体"/>
          <w:sz w:val="28"/>
          <w:szCs w:val="28"/>
        </w:rPr>
        <w:fldChar w:fldCharType="separate"/>
      </w:r>
      <w:r>
        <w:rPr>
          <w:rFonts w:hint="eastAsia" w:ascii="宋体" w:hAnsi="宋体" w:cs="宋体"/>
          <w:sz w:val="28"/>
          <w:szCs w:val="28"/>
        </w:rPr>
        <w:t xml:space="preserve">⑴</w:t>
      </w:r>
      <w:r>
        <w:rPr>
          <w:rFonts w:hint="eastAsia" w:ascii="宋体" w:hAnsi="宋体" w:cs="宋体"/>
          <w:sz w:val="28"/>
          <w:szCs w:val="28"/>
        </w:rPr>
        <w:fldChar w:fldCharType="end"/>
      </w:r>
      <w:r>
        <w:rPr>
          <w:rFonts w:hint="eastAsia" w:ascii="宋体" w:hAnsi="宋体" w:cs="宋体"/>
          <w:sz w:val="28"/>
          <w:szCs w:val="28"/>
        </w:rPr>
        <w:t xml:space="preserve"> ***</w:t>
      </w:r>
      <w:r/>
    </w:p>
    <w:p>
      <w:pPr>
        <w:ind w:firstLine="560"/>
        <w:jc w:val="left"/>
        <w:spacing w:line="500" w:lineRule="exact"/>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 2 \* GB2 </w:instrText>
      </w:r>
      <w:r>
        <w:rPr>
          <w:rFonts w:hint="eastAsia" w:ascii="宋体" w:hAnsi="宋体" w:cs="宋体"/>
          <w:sz w:val="28"/>
          <w:szCs w:val="28"/>
        </w:rPr>
        <w:fldChar w:fldCharType="separate"/>
      </w:r>
      <w:r>
        <w:rPr>
          <w:rFonts w:hint="eastAsia" w:ascii="宋体" w:hAnsi="宋体" w:cs="宋体"/>
          <w:sz w:val="28"/>
          <w:szCs w:val="28"/>
        </w:rPr>
        <w:t xml:space="preserve">⑵</w:t>
      </w:r>
      <w:r>
        <w:rPr>
          <w:rFonts w:hint="eastAsia" w:ascii="宋体" w:hAnsi="宋体" w:cs="宋体"/>
          <w:sz w:val="28"/>
          <w:szCs w:val="28"/>
        </w:rPr>
        <w:fldChar w:fldCharType="end"/>
      </w:r>
      <w:r>
        <w:rPr>
          <w:rFonts w:hint="eastAsia" w:ascii="宋体" w:hAnsi="宋体" w:cs="宋体"/>
          <w:sz w:val="28"/>
          <w:szCs w:val="28"/>
        </w:rPr>
        <w:t xml:space="preserve">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3、支付方式、时间、条件：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4、方案编制以及审批过程中产生的所有费用均由编制单位承担。</w:t>
      </w:r>
      <w:r/>
    </w:p>
    <w:p>
      <w:pPr>
        <w:ind w:firstLine="562"/>
        <w:spacing w:line="500" w:lineRule="exact"/>
        <w:rPr>
          <w:rFonts w:ascii="宋体" w:hAnsi="宋体"/>
          <w:sz w:val="28"/>
          <w:szCs w:val="28"/>
        </w:rPr>
      </w:pPr>
      <w:r>
        <w:rPr>
          <w:rFonts w:hint="eastAsia" w:ascii="宋体" w:hAnsi="宋体"/>
          <w:b/>
          <w:bCs/>
          <w:sz w:val="28"/>
          <w:szCs w:val="28"/>
        </w:rPr>
        <w:t xml:space="preserve">六</w:t>
      </w:r>
      <w:r>
        <w:rPr>
          <w:rFonts w:hint="eastAsia" w:ascii="宋体" w:hAnsi="宋体"/>
          <w:sz w:val="28"/>
          <w:szCs w:val="28"/>
        </w:rPr>
        <w:t xml:space="preserve">、甲方的义务</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1、负责本项目的组织协商，配合乙方做好相关资料收集和准备工作。</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2、足额向乙方支付经费。</w:t>
      </w:r>
      <w:r/>
    </w:p>
    <w:p>
      <w:pPr>
        <w:ind w:firstLine="562"/>
        <w:spacing w:line="500" w:lineRule="exact"/>
        <w:rPr>
          <w:rFonts w:ascii="宋体" w:hAnsi="宋体"/>
          <w:sz w:val="28"/>
          <w:szCs w:val="28"/>
        </w:rPr>
      </w:pPr>
      <w:r>
        <w:rPr>
          <w:rFonts w:hint="eastAsia" w:ascii="宋体" w:hAnsi="宋体"/>
          <w:b/>
          <w:bCs/>
          <w:sz w:val="28"/>
          <w:szCs w:val="28"/>
        </w:rPr>
        <w:t xml:space="preserve">七</w:t>
      </w:r>
      <w:r>
        <w:rPr>
          <w:rFonts w:hint="eastAsia" w:ascii="宋体" w:hAnsi="宋体"/>
          <w:sz w:val="28"/>
          <w:szCs w:val="28"/>
        </w:rPr>
        <w:t xml:space="preserve">、乙方义务</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严格按照甲方的委托要求独立开展工作，并保证及时高质量完成甲方委托任务，具体事项有：</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（如有，另行协商）</w:t>
      </w:r>
      <w:r>
        <w:rPr>
          <w:rFonts w:hint="eastAsia" w:ascii="宋体" w:hAnsi="宋体" w:cs="宋体"/>
          <w:sz w:val="28"/>
          <w:szCs w:val="28"/>
        </w:rPr>
        <w:t xml:space="preserve">。</w:t>
      </w:r>
      <w:r/>
    </w:p>
    <w:p>
      <w:pPr>
        <w:ind w:firstLine="562"/>
        <w:spacing w:line="500" w:lineRule="exact"/>
        <w:rPr>
          <w:sz w:val="28"/>
        </w:rPr>
      </w:pPr>
      <w:r>
        <w:rPr>
          <w:rFonts w:hint="eastAsia" w:ascii="宋体" w:hAnsi="宋体"/>
          <w:b/>
          <w:sz w:val="28"/>
          <w:szCs w:val="28"/>
        </w:rPr>
        <w:t xml:space="preserve">八、</w:t>
      </w:r>
      <w:r>
        <w:rPr>
          <w:rFonts w:hint="eastAsia" w:ascii="宋体" w:hAnsi="宋体" w:cs="宋体"/>
          <w:sz w:val="28"/>
        </w:rPr>
        <w:t xml:space="preserve">本合同涉及的本项目成果的所有权、使用权和著作权归甲方所有。</w:t>
      </w:r>
      <w:r/>
    </w:p>
    <w:p>
      <w:pPr>
        <w:ind w:firstLine="562"/>
        <w:spacing w:line="500" w:lineRule="exact"/>
        <w:rPr>
          <w:rFonts w:ascii="宋体" w:hAnsi="宋体"/>
          <w:b/>
          <w:sz w:val="28"/>
          <w:szCs w:val="28"/>
        </w:rPr>
      </w:pPr>
      <w:r>
        <w:rPr>
          <w:rFonts w:hint="eastAsia" w:ascii="宋体" w:hAnsi="宋体"/>
          <w:b/>
          <w:sz w:val="28"/>
          <w:szCs w:val="28"/>
        </w:rPr>
        <w:t xml:space="preserve">九、履约保证金</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 1、中标人与采购人签订政府采购合同前，须提交履约保证金，否则视为放弃中标，给采购人造成损失的，中标人还应当予以赔偿。</w:t>
      </w:r>
      <w:r/>
    </w:p>
    <w:p>
      <w:pPr>
        <w:ind w:firstLine="560"/>
        <w:jc w:val="left"/>
        <w:spacing w:line="500" w:lineRule="exact"/>
        <w:rPr>
          <w:rFonts w:ascii="宋体" w:hAnsi="宋体" w:cs="宋体"/>
          <w:sz w:val="28"/>
          <w:szCs w:val="28"/>
        </w:rPr>
      </w:pPr>
      <w:r>
        <w:rPr>
          <w:rFonts w:ascii="宋体" w:hAnsi="宋体" w:cs="宋体"/>
          <w:sz w:val="28"/>
          <w:szCs w:val="28"/>
        </w:rPr>
        <w:t xml:space="preserve">履约</w:t>
      </w:r>
      <w:r>
        <w:rPr>
          <w:rFonts w:hint="eastAsia" w:ascii="宋体" w:hAnsi="宋体" w:cs="宋体"/>
          <w:sz w:val="28"/>
          <w:szCs w:val="28"/>
        </w:rPr>
        <w:t xml:space="preserve">保证金</w:t>
      </w:r>
      <w:r>
        <w:rPr>
          <w:rFonts w:ascii="宋体" w:hAnsi="宋体" w:cs="宋体"/>
          <w:sz w:val="28"/>
          <w:szCs w:val="28"/>
        </w:rPr>
        <w:t xml:space="preserve">的形式：支票、汇票、本票或者金融机构、担保机构出具的保函等非现金形式</w:t>
      </w:r>
      <w:r/>
    </w:p>
    <w:p>
      <w:pPr>
        <w:ind w:firstLine="560"/>
        <w:jc w:val="left"/>
        <w:spacing w:line="500" w:lineRule="exact"/>
        <w:rPr>
          <w:rFonts w:ascii="宋体" w:hAnsi="宋体" w:cs="宋体"/>
          <w:sz w:val="28"/>
          <w:szCs w:val="28"/>
        </w:rPr>
      </w:pPr>
      <w:r>
        <w:rPr>
          <w:rFonts w:ascii="宋体" w:hAnsi="宋体" w:cs="宋体"/>
          <w:sz w:val="28"/>
          <w:szCs w:val="28"/>
        </w:rPr>
        <w:t xml:space="preserve">履约</w:t>
      </w:r>
      <w:r>
        <w:rPr>
          <w:rFonts w:hint="eastAsia" w:ascii="宋体" w:hAnsi="宋体" w:cs="宋体"/>
          <w:sz w:val="28"/>
          <w:szCs w:val="28"/>
        </w:rPr>
        <w:t xml:space="preserve">保证金</w:t>
      </w:r>
      <w:r>
        <w:rPr>
          <w:rFonts w:ascii="宋体" w:hAnsi="宋体" w:cs="宋体"/>
          <w:sz w:val="28"/>
          <w:szCs w:val="28"/>
        </w:rPr>
        <w:t xml:space="preserve">的金额：</w:t>
      </w:r>
      <w:r>
        <w:rPr>
          <w:rFonts w:hint="eastAsia" w:ascii="宋体" w:hAnsi="宋体" w:cs="宋体"/>
          <w:sz w:val="28"/>
          <w:szCs w:val="28"/>
        </w:rPr>
        <w:t xml:space="preserve">合同价的</w:t>
      </w:r>
      <w:r>
        <w:rPr>
          <w:rFonts w:hint="eastAsia" w:ascii="宋体" w:hAnsi="宋体" w:cs="宋体"/>
          <w:sz w:val="28"/>
          <w:szCs w:val="28"/>
          <w:u w:val="single"/>
        </w:rPr>
        <w:t xml:space="preserve">              </w:t>
      </w:r>
      <w:r>
        <w:rPr>
          <w:rFonts w:hint="eastAsia" w:ascii="宋体" w:hAnsi="宋体" w:cs="宋体"/>
          <w:sz w:val="28"/>
          <w:szCs w:val="28"/>
        </w:rPr>
        <w:t xml:space="preserve">%</w:t>
      </w:r>
      <w:r/>
    </w:p>
    <w:p>
      <w:pPr>
        <w:pStyle w:val="650"/>
        <w:spacing w:line="500" w:lineRule="exact"/>
        <w:rPr>
          <w:rFonts w:ascii="宋体" w:hAnsi="宋体" w:cs="宋体"/>
          <w:sz w:val="28"/>
          <w:szCs w:val="28"/>
        </w:rPr>
      </w:pPr>
      <w:r>
        <w:rPr>
          <w:rFonts w:hint="eastAsia" w:ascii="宋体" w:hAnsi="宋体" w:cs="宋体"/>
          <w:sz w:val="28"/>
          <w:szCs w:val="28"/>
        </w:rPr>
        <w:t xml:space="preserve">    履约保证金退还方式、时间、条件：</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2、如卖方未能履行合同规定的义务，买方有权从履约保证金中取得补偿。</w:t>
      </w:r>
      <w:r/>
    </w:p>
    <w:p>
      <w:pPr>
        <w:ind w:firstLine="560"/>
        <w:spacing w:line="500" w:lineRule="exact"/>
        <w:rPr>
          <w:rFonts w:ascii="宋体" w:hAnsi="宋体" w:cs="宋体"/>
          <w:sz w:val="28"/>
          <w:szCs w:val="28"/>
        </w:rPr>
      </w:pPr>
      <w:r>
        <w:rPr>
          <w:rFonts w:hint="eastAsia" w:ascii="宋体" w:hAnsi="宋体" w:cs="宋体"/>
          <w:sz w:val="28"/>
          <w:szCs w:val="28"/>
        </w:rPr>
        <w:t xml:space="preserve">3、乙方由于过错而导致支付违约金和赔偿损失时可由履约保证金抵顶支付；当违约金和赔偿金额超过履约保证金时，甲方可追偿超过履约保证金的部分。</w:t>
      </w:r>
      <w:r/>
    </w:p>
    <w:p>
      <w:pPr>
        <w:ind w:firstLine="562"/>
        <w:spacing w:line="500" w:lineRule="exact"/>
        <w:rPr>
          <w:rFonts w:ascii="宋体" w:hAnsi="宋体"/>
          <w:b/>
          <w:sz w:val="28"/>
          <w:szCs w:val="28"/>
        </w:rPr>
      </w:pPr>
      <w:r>
        <w:rPr>
          <w:rFonts w:hint="eastAsia" w:ascii="宋体" w:hAnsi="宋体"/>
          <w:b/>
          <w:sz w:val="28"/>
          <w:szCs w:val="28"/>
        </w:rPr>
        <w:t xml:space="preserve">十．不可抗力</w:t>
      </w:r>
      <w:r/>
    </w:p>
    <w:p>
      <w:pPr>
        <w:ind w:firstLine="560"/>
        <w:spacing w:line="500" w:lineRule="exact"/>
        <w:rPr>
          <w:rFonts w:ascii="宋体" w:hAnsi="宋体" w:cs="宋体"/>
          <w:sz w:val="28"/>
          <w:szCs w:val="28"/>
        </w:rPr>
      </w:pPr>
      <w:r>
        <w:rPr>
          <w:rFonts w:hint="eastAsia" w:ascii="宋体" w:hAnsi="宋体" w:cs="宋体"/>
          <w:sz w:val="28"/>
          <w:szCs w:val="28"/>
        </w:rPr>
        <w:t xml:space="preserve">1.签约双方任一方由于受诸如战争、严重火灾、洪水、台风、地震等不可抗力事故的影响而不能执行合同时，履行合同的期限应予以延长，延长的期限应相当于事故所影响的时间。</w:t>
      </w:r>
      <w:r/>
    </w:p>
    <w:p>
      <w:pPr>
        <w:ind w:firstLine="560"/>
        <w:spacing w:line="500" w:lineRule="exact"/>
        <w:rPr>
          <w:rFonts w:ascii="宋体" w:hAnsi="宋体" w:cs="宋体"/>
          <w:sz w:val="28"/>
          <w:szCs w:val="28"/>
        </w:rPr>
      </w:pPr>
      <w:r>
        <w:rPr>
          <w:rFonts w:hint="eastAsia" w:ascii="宋体" w:hAnsi="宋体" w:cs="宋体"/>
          <w:sz w:val="28"/>
          <w:szCs w:val="28"/>
        </w:rPr>
        <w:t xml:space="preserve">2.受阻一方应在不可抗力事故发生后尽快用电报、传真或电传通知对方，并于事故发生后</w:t>
      </w:r>
      <w:r>
        <w:rPr>
          <w:rFonts w:hint="eastAsia" w:ascii="宋体" w:hAnsi="宋体" w:cs="宋体"/>
          <w:sz w:val="28"/>
          <w:szCs w:val="28"/>
          <w:u w:val="single"/>
        </w:rPr>
        <w:t xml:space="preserve"> </w:t>
      </w:r>
      <w:r>
        <w:rPr>
          <w:rFonts w:hint="eastAsia" w:ascii="宋体" w:hAnsi="宋体" w:cs="宋体"/>
          <w:sz w:val="28"/>
          <w:szCs w:val="28"/>
        </w:rPr>
        <w:t xml:space="preserve">天内将有关当局出具的证明文件用特快专递寄给对方审阅确认。一旦不可抗力事故的影响持续</w:t>
      </w:r>
      <w:r>
        <w:rPr>
          <w:rFonts w:hint="eastAsia" w:ascii="宋体" w:hAnsi="宋体" w:cs="宋体"/>
          <w:sz w:val="28"/>
          <w:szCs w:val="28"/>
          <w:u w:val="single"/>
        </w:rPr>
        <w:t xml:space="preserve">  </w:t>
      </w:r>
      <w:r>
        <w:rPr>
          <w:rFonts w:hint="eastAsia" w:ascii="宋体" w:hAnsi="宋体" w:cs="宋体"/>
          <w:sz w:val="28"/>
          <w:szCs w:val="28"/>
        </w:rPr>
        <w:t xml:space="preserve">天以上，双方（或三方）应通过友好协商在合理的时间内达成是否继续履行合同的协议。</w:t>
      </w:r>
      <w:r/>
    </w:p>
    <w:p>
      <w:pPr>
        <w:ind w:firstLine="562"/>
        <w:spacing w:line="500" w:lineRule="exact"/>
        <w:rPr>
          <w:rFonts w:ascii="宋体" w:hAnsi="宋体"/>
          <w:b/>
          <w:sz w:val="28"/>
          <w:szCs w:val="28"/>
        </w:rPr>
      </w:pPr>
      <w:r>
        <w:rPr>
          <w:rFonts w:hint="eastAsia" w:ascii="宋体" w:hAnsi="宋体"/>
          <w:b/>
          <w:sz w:val="28"/>
          <w:szCs w:val="28"/>
        </w:rPr>
        <w:t xml:space="preserve">十一．税费</w:t>
      </w:r>
      <w:r/>
    </w:p>
    <w:p>
      <w:pPr>
        <w:ind w:firstLine="560"/>
        <w:spacing w:line="500" w:lineRule="exact"/>
        <w:rPr>
          <w:rFonts w:ascii="宋体" w:hAnsi="宋体" w:cs="宋体"/>
          <w:sz w:val="28"/>
          <w:szCs w:val="28"/>
        </w:rPr>
      </w:pPr>
      <w:r>
        <w:rPr>
          <w:rFonts w:hint="eastAsia" w:ascii="宋体" w:hAnsi="宋体" w:cs="宋体"/>
          <w:sz w:val="28"/>
          <w:szCs w:val="28"/>
        </w:rPr>
        <w:t xml:space="preserve">1.与履行本合同有关的一切税费，由乙方承担。</w:t>
      </w:r>
      <w:r/>
    </w:p>
    <w:p>
      <w:pPr>
        <w:ind w:firstLine="562"/>
        <w:spacing w:line="500" w:lineRule="exact"/>
        <w:rPr>
          <w:rFonts w:ascii="宋体" w:hAnsi="宋体"/>
          <w:b/>
          <w:sz w:val="28"/>
          <w:szCs w:val="28"/>
        </w:rPr>
      </w:pPr>
      <w:r>
        <w:rPr>
          <w:rFonts w:hint="eastAsia" w:ascii="宋体" w:hAnsi="宋体"/>
          <w:b/>
          <w:sz w:val="28"/>
          <w:szCs w:val="28"/>
        </w:rPr>
        <w:t xml:space="preserve">十二．争议</w:t>
      </w:r>
      <w:r/>
    </w:p>
    <w:p>
      <w:pPr>
        <w:ind w:firstLine="560"/>
        <w:spacing w:line="500" w:lineRule="exact"/>
        <w:rPr>
          <w:rFonts w:ascii="宋体" w:hAnsi="宋体"/>
          <w:sz w:val="28"/>
          <w:szCs w:val="28"/>
        </w:rPr>
      </w:pPr>
      <w:r>
        <w:rPr>
          <w:rFonts w:hint="eastAsia" w:ascii="宋体" w:hAnsi="宋体"/>
          <w:sz w:val="28"/>
          <w:szCs w:val="28"/>
        </w:rPr>
        <w:t xml:space="preserve">1.在执行本合同中发生的或与本合同有关的争端，双方应通过友好协商解决。</w:t>
      </w:r>
      <w:r>
        <w:rPr>
          <w:rFonts w:hint="eastAsia" w:ascii="宋体" w:hAnsi="宋体" w:cs="宋体"/>
          <w:sz w:val="28"/>
          <w:szCs w:val="28"/>
        </w:rPr>
        <w:t xml:space="preserve">经协商不能达成协议时，可向泰兴市仲裁委员会按其仲裁规则申请仲裁。仲裁不成功，向合同签约地的人民法院提请诉讼。</w:t>
      </w:r>
      <w:r/>
    </w:p>
    <w:p>
      <w:pPr>
        <w:ind w:firstLine="560"/>
        <w:spacing w:line="500" w:lineRule="exact"/>
        <w:rPr>
          <w:rFonts w:ascii="宋体" w:hAnsi="宋体"/>
          <w:sz w:val="28"/>
          <w:szCs w:val="28"/>
        </w:rPr>
      </w:pPr>
      <w:r>
        <w:rPr>
          <w:rFonts w:hint="eastAsia" w:ascii="宋体" w:hAnsi="宋体"/>
          <w:sz w:val="28"/>
          <w:szCs w:val="28"/>
        </w:rPr>
        <w:t xml:space="preserve">2.在仲裁和诉讼期间，双方应继续履行争议部分以外的合同内容。</w:t>
      </w:r>
      <w:r/>
    </w:p>
    <w:p>
      <w:pPr>
        <w:ind w:firstLine="562"/>
        <w:spacing w:line="500" w:lineRule="exact"/>
        <w:rPr>
          <w:rFonts w:ascii="宋体" w:hAnsi="宋体"/>
          <w:b/>
          <w:sz w:val="28"/>
          <w:szCs w:val="28"/>
        </w:rPr>
      </w:pPr>
      <w:r>
        <w:rPr>
          <w:rFonts w:hint="eastAsia" w:ascii="宋体" w:hAnsi="宋体"/>
          <w:b/>
          <w:sz w:val="28"/>
          <w:szCs w:val="28"/>
        </w:rPr>
        <w:t xml:space="preserve">十三．违约终止合同</w:t>
      </w:r>
      <w:r/>
    </w:p>
    <w:p>
      <w:pPr>
        <w:ind w:firstLine="560"/>
        <w:spacing w:line="500" w:lineRule="exact"/>
        <w:rPr>
          <w:rFonts w:ascii="宋体" w:hAnsi="宋体"/>
          <w:sz w:val="28"/>
          <w:szCs w:val="28"/>
        </w:rPr>
      </w:pPr>
      <w:r>
        <w:rPr>
          <w:rFonts w:hint="eastAsia" w:ascii="宋体" w:hAnsi="宋体"/>
          <w:sz w:val="28"/>
          <w:szCs w:val="28"/>
        </w:rPr>
        <w:t xml:space="preserve">1 .违约责任</w:t>
      </w:r>
      <w:r/>
    </w:p>
    <w:p>
      <w:pPr>
        <w:ind w:firstLine="560"/>
        <w:spacing w:line="500" w:lineRule="exact"/>
        <w:rPr>
          <w:rFonts w:ascii="宋体" w:hAnsi="宋体"/>
          <w:sz w:val="28"/>
          <w:szCs w:val="28"/>
        </w:rPr>
      </w:pPr>
      <w:r>
        <w:rPr>
          <w:rFonts w:hint="eastAsia" w:ascii="宋体" w:hAnsi="宋体"/>
          <w:sz w:val="28"/>
          <w:szCs w:val="28"/>
        </w:rPr>
        <w:t xml:space="preserve">有下列情况之一的，甲方有权终止协议：</w:t>
      </w:r>
      <w:r/>
    </w:p>
    <w:p>
      <w:pPr>
        <w:ind w:firstLine="560"/>
        <w:spacing w:line="500" w:lineRule="exact"/>
        <w:rPr>
          <w:rFonts w:ascii="宋体" w:hAnsi="宋体"/>
          <w:sz w:val="28"/>
          <w:szCs w:val="28"/>
        </w:rPr>
      </w:pPr>
      <w:r>
        <w:rPr>
          <w:rFonts w:hint="eastAsia" w:ascii="宋体" w:hAnsi="宋体"/>
          <w:sz w:val="28"/>
          <w:szCs w:val="28"/>
        </w:rPr>
        <w:t xml:space="preserve">1.1</w:t>
      </w:r>
      <w:r>
        <w:rPr>
          <w:rFonts w:hint="eastAsia" w:ascii="宋体" w:hAnsi="宋体" w:cs="宋体"/>
          <w:sz w:val="28"/>
          <w:szCs w:val="28"/>
        </w:rPr>
        <w:t xml:space="preserve">乙方未能按</w:t>
      </w:r>
      <w:r>
        <w:rPr>
          <w:rFonts w:hint="eastAsia" w:ascii="宋体" w:hAnsi="宋体"/>
          <w:sz w:val="28"/>
          <w:szCs w:val="28"/>
        </w:rPr>
        <w:t xml:space="preserve">上级</w:t>
      </w:r>
      <w:r>
        <w:rPr>
          <w:rFonts w:hint="eastAsia" w:ascii="宋体" w:hAnsi="宋体" w:cs="宋体"/>
          <w:sz w:val="28"/>
          <w:szCs w:val="28"/>
        </w:rPr>
        <w:t xml:space="preserve">要求造成结果失真或未能按进保质完成甲方委托任务的。</w:t>
      </w:r>
      <w:r/>
    </w:p>
    <w:p>
      <w:pPr>
        <w:ind w:firstLine="560"/>
        <w:spacing w:line="500" w:lineRule="exact"/>
        <w:rPr>
          <w:rFonts w:ascii="宋体" w:hAnsi="宋体"/>
          <w:sz w:val="28"/>
          <w:szCs w:val="28"/>
        </w:rPr>
      </w:pPr>
      <w:r>
        <w:rPr>
          <w:rFonts w:hint="eastAsia" w:ascii="宋体" w:hAnsi="宋体"/>
          <w:sz w:val="28"/>
          <w:szCs w:val="28"/>
        </w:rPr>
        <w:t xml:space="preserve">1.2乙方违反从业道德，影响甲方声誉或投诉查实的。</w:t>
      </w:r>
      <w:r/>
    </w:p>
    <w:p>
      <w:pPr>
        <w:ind w:firstLine="560"/>
        <w:spacing w:line="500" w:lineRule="exact"/>
        <w:rPr>
          <w:rFonts w:ascii="宋体" w:hAnsi="宋体"/>
          <w:sz w:val="28"/>
          <w:szCs w:val="28"/>
        </w:rPr>
      </w:pPr>
      <w:r>
        <w:rPr>
          <w:rFonts w:hint="eastAsia" w:ascii="宋体" w:hAnsi="宋体"/>
          <w:sz w:val="28"/>
          <w:szCs w:val="28"/>
        </w:rPr>
        <w:t xml:space="preserve">2.因解除而终止</w:t>
      </w:r>
      <w:r/>
    </w:p>
    <w:p>
      <w:pPr>
        <w:ind w:firstLine="560"/>
        <w:spacing w:line="500" w:lineRule="exact"/>
        <w:rPr>
          <w:rFonts w:ascii="宋体" w:hAnsi="宋体"/>
          <w:sz w:val="28"/>
          <w:szCs w:val="28"/>
        </w:rPr>
      </w:pPr>
      <w:r>
        <w:rPr>
          <w:rFonts w:hint="eastAsia" w:ascii="宋体" w:hAnsi="宋体"/>
          <w:sz w:val="28"/>
          <w:szCs w:val="28"/>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560"/>
        <w:spacing w:line="500" w:lineRule="exact"/>
        <w:rPr>
          <w:rFonts w:ascii="宋体" w:hAnsi="宋体"/>
          <w:sz w:val="28"/>
          <w:szCs w:val="28"/>
        </w:rPr>
      </w:pPr>
      <w:r>
        <w:rPr>
          <w:rFonts w:hint="eastAsia" w:ascii="宋体" w:hAnsi="宋体"/>
          <w:sz w:val="28"/>
          <w:szCs w:val="28"/>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560"/>
        <w:spacing w:line="500" w:lineRule="exact"/>
        <w:rPr>
          <w:rFonts w:ascii="宋体" w:hAnsi="宋体"/>
          <w:sz w:val="28"/>
          <w:szCs w:val="28"/>
        </w:rPr>
      </w:pPr>
      <w:r>
        <w:rPr>
          <w:rFonts w:hint="eastAsia" w:ascii="宋体" w:hAnsi="宋体"/>
          <w:sz w:val="28"/>
          <w:szCs w:val="28"/>
        </w:rPr>
        <w:t xml:space="preserve">2.3合同一方依本合同约定行使解除权的，合同自解除通知送达另一方之日起终止。违约方应当按本合同约定支付违约金或赔偿损失。</w:t>
      </w:r>
      <w:r/>
    </w:p>
    <w:p>
      <w:pPr>
        <w:ind w:firstLine="560"/>
        <w:spacing w:line="500" w:lineRule="exact"/>
        <w:rPr>
          <w:rFonts w:ascii="宋体" w:hAnsi="宋体"/>
          <w:sz w:val="28"/>
          <w:szCs w:val="28"/>
        </w:rPr>
      </w:pPr>
      <w:r>
        <w:rPr>
          <w:rFonts w:hint="eastAsia" w:ascii="宋体" w:hAnsi="宋体"/>
          <w:sz w:val="28"/>
          <w:szCs w:val="28"/>
        </w:rPr>
        <w:t xml:space="preserve">2.4合同终止后，不妨碍守约方向违约方追究违约责任。</w:t>
      </w:r>
      <w:r/>
    </w:p>
    <w:p>
      <w:pPr>
        <w:ind w:firstLine="560"/>
        <w:spacing w:line="500" w:lineRule="exact"/>
        <w:rPr>
          <w:rFonts w:ascii="宋体" w:hAnsi="宋体"/>
          <w:sz w:val="28"/>
          <w:szCs w:val="28"/>
        </w:rPr>
      </w:pPr>
      <w:r>
        <w:rPr>
          <w:rFonts w:hint="eastAsia" w:ascii="宋体" w:hAnsi="宋体"/>
          <w:sz w:val="28"/>
          <w:szCs w:val="28"/>
        </w:rPr>
        <w:t xml:space="preserve">3.甲方未能按规定时限支付评估经费的，每延迟一天，按应付金额的0.1%对乙方进行违约赔偿。</w:t>
      </w:r>
      <w:r/>
    </w:p>
    <w:p>
      <w:pPr>
        <w:ind w:firstLine="562"/>
        <w:spacing w:line="500" w:lineRule="exact"/>
        <w:rPr>
          <w:rFonts w:ascii="宋体" w:hAnsi="宋体"/>
          <w:b/>
          <w:sz w:val="28"/>
          <w:szCs w:val="28"/>
        </w:rPr>
      </w:pPr>
      <w:r>
        <w:rPr>
          <w:rFonts w:hint="eastAsia" w:ascii="宋体" w:hAnsi="宋体"/>
          <w:b/>
          <w:sz w:val="28"/>
          <w:szCs w:val="28"/>
        </w:rPr>
        <w:t xml:space="preserve">十四．变更指示</w:t>
      </w:r>
      <w:r/>
    </w:p>
    <w:p>
      <w:pPr>
        <w:ind w:firstLine="560"/>
        <w:spacing w:line="500" w:lineRule="exact"/>
        <w:rPr>
          <w:rFonts w:ascii="宋体" w:hAnsi="宋体"/>
          <w:sz w:val="28"/>
          <w:szCs w:val="28"/>
        </w:rPr>
      </w:pPr>
      <w:r>
        <w:rPr>
          <w:rFonts w:hint="eastAsia" w:ascii="宋体" w:hAnsi="宋体"/>
          <w:sz w:val="28"/>
          <w:szCs w:val="28"/>
        </w:rPr>
        <w:t xml:space="preserve">1.甲方有权根据实际需要，在《政府采购法》允许的范围内提出变更要求。</w:t>
      </w:r>
      <w:r/>
    </w:p>
    <w:p>
      <w:pPr>
        <w:ind w:firstLine="560"/>
        <w:spacing w:line="500" w:lineRule="exact"/>
        <w:rPr>
          <w:rFonts w:ascii="宋体" w:hAnsi="宋体"/>
          <w:sz w:val="28"/>
          <w:szCs w:val="28"/>
        </w:rPr>
      </w:pPr>
      <w:r>
        <w:rPr>
          <w:rFonts w:hint="eastAsia" w:ascii="宋体" w:hAnsi="宋体"/>
          <w:sz w:val="28"/>
          <w:szCs w:val="28"/>
        </w:rPr>
        <w:t xml:space="preserve">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p>
    <w:p>
      <w:pPr>
        <w:ind w:firstLine="562"/>
        <w:spacing w:line="500" w:lineRule="exact"/>
        <w:rPr>
          <w:rFonts w:ascii="宋体" w:hAnsi="宋体"/>
          <w:b/>
          <w:sz w:val="28"/>
          <w:szCs w:val="28"/>
        </w:rPr>
      </w:pPr>
      <w:r>
        <w:rPr>
          <w:rFonts w:hint="eastAsia" w:ascii="宋体" w:hAnsi="宋体"/>
          <w:b/>
          <w:sz w:val="28"/>
          <w:szCs w:val="28"/>
        </w:rPr>
        <w:t xml:space="preserve">十五．合同修改</w:t>
      </w:r>
      <w:r/>
    </w:p>
    <w:p>
      <w:pPr>
        <w:ind w:firstLine="560"/>
        <w:spacing w:line="500" w:lineRule="exact"/>
        <w:rPr>
          <w:rFonts w:ascii="宋体" w:hAnsi="宋体"/>
          <w:sz w:val="28"/>
          <w:szCs w:val="28"/>
        </w:rPr>
      </w:pPr>
      <w:r>
        <w:rPr>
          <w:rFonts w:hint="eastAsia" w:ascii="宋体" w:hAnsi="宋体"/>
          <w:sz w:val="28"/>
          <w:szCs w:val="28"/>
        </w:rPr>
        <w:t xml:space="preserve">1.对合同条款作出任何改动或偏离，均须甲乙双方签署书面的合同修改书。</w:t>
      </w:r>
      <w:r/>
    </w:p>
    <w:p>
      <w:pPr>
        <w:ind w:firstLine="562"/>
        <w:spacing w:line="500" w:lineRule="exact"/>
        <w:rPr>
          <w:rFonts w:ascii="宋体" w:hAnsi="宋体"/>
          <w:b/>
          <w:sz w:val="28"/>
          <w:szCs w:val="28"/>
        </w:rPr>
      </w:pPr>
      <w:r>
        <w:rPr>
          <w:rFonts w:hint="eastAsia" w:ascii="宋体" w:hAnsi="宋体"/>
          <w:b/>
          <w:sz w:val="28"/>
          <w:szCs w:val="28"/>
        </w:rPr>
        <w:t xml:space="preserve">十六．适用法律</w:t>
      </w:r>
      <w:r/>
    </w:p>
    <w:p>
      <w:pPr>
        <w:ind w:firstLine="560"/>
        <w:spacing w:line="500" w:lineRule="exact"/>
        <w:rPr>
          <w:rFonts w:ascii="宋体" w:hAnsi="宋体"/>
          <w:sz w:val="28"/>
          <w:szCs w:val="28"/>
        </w:rPr>
      </w:pPr>
      <w:r>
        <w:rPr>
          <w:rFonts w:hint="eastAsia" w:ascii="宋体" w:hAnsi="宋体"/>
          <w:sz w:val="28"/>
          <w:szCs w:val="28"/>
        </w:rPr>
        <w:t xml:space="preserve">l.本合同应按中华人民共和国的法律解释。</w:t>
      </w:r>
      <w:r/>
    </w:p>
    <w:p>
      <w:pPr>
        <w:ind w:firstLine="562"/>
        <w:spacing w:line="500" w:lineRule="exact"/>
        <w:rPr>
          <w:rFonts w:ascii="宋体" w:hAnsi="宋体"/>
          <w:b/>
          <w:sz w:val="28"/>
          <w:szCs w:val="28"/>
        </w:rPr>
      </w:pPr>
      <w:r>
        <w:rPr>
          <w:rFonts w:hint="eastAsia" w:ascii="宋体" w:hAnsi="宋体"/>
          <w:b/>
          <w:sz w:val="28"/>
          <w:szCs w:val="28"/>
        </w:rPr>
        <w:t xml:space="preserve">十七．语言与计量单位</w:t>
      </w:r>
      <w:r/>
    </w:p>
    <w:p>
      <w:pPr>
        <w:ind w:firstLine="560"/>
        <w:spacing w:line="500" w:lineRule="exact"/>
        <w:rPr>
          <w:rFonts w:ascii="宋体" w:hAnsi="宋体"/>
          <w:sz w:val="28"/>
          <w:szCs w:val="28"/>
        </w:rPr>
      </w:pPr>
      <w:r>
        <w:rPr>
          <w:rFonts w:hint="eastAsia" w:ascii="宋体" w:hAnsi="宋体"/>
          <w:sz w:val="28"/>
          <w:szCs w:val="28"/>
        </w:rPr>
        <w:t xml:space="preserve">1.合同书写应用中文。甲乙双方所有的来往函电以及与合同有关的文件均应以中文书写。</w:t>
      </w:r>
      <w:r/>
    </w:p>
    <w:p>
      <w:pPr>
        <w:ind w:firstLine="560"/>
        <w:spacing w:line="500" w:lineRule="exact"/>
        <w:rPr>
          <w:rFonts w:ascii="宋体" w:hAnsi="宋体"/>
          <w:sz w:val="28"/>
          <w:szCs w:val="28"/>
        </w:rPr>
      </w:pPr>
      <w:r>
        <w:rPr>
          <w:rFonts w:hint="eastAsia" w:ascii="宋体" w:hAnsi="宋体"/>
          <w:sz w:val="28"/>
          <w:szCs w:val="28"/>
        </w:rPr>
        <w:t xml:space="preserve">2.除技术规格中另有规定外，计量单位均使用国际单位制。</w:t>
      </w:r>
      <w:r/>
    </w:p>
    <w:p>
      <w:pPr>
        <w:ind w:firstLine="562"/>
        <w:spacing w:line="500" w:lineRule="exact"/>
        <w:rPr>
          <w:rFonts w:ascii="宋体" w:hAnsi="宋体"/>
          <w:b/>
          <w:sz w:val="28"/>
          <w:szCs w:val="28"/>
        </w:rPr>
      </w:pPr>
      <w:r>
        <w:rPr>
          <w:rFonts w:hint="eastAsia" w:ascii="宋体" w:hAnsi="宋体"/>
          <w:b/>
          <w:sz w:val="28"/>
          <w:szCs w:val="28"/>
        </w:rPr>
        <w:t xml:space="preserve">十八．通知</w:t>
      </w:r>
      <w:r/>
    </w:p>
    <w:p>
      <w:pPr>
        <w:ind w:firstLine="560"/>
        <w:spacing w:line="500" w:lineRule="exact"/>
        <w:rPr>
          <w:rFonts w:ascii="宋体" w:hAnsi="宋体"/>
          <w:sz w:val="28"/>
          <w:szCs w:val="28"/>
        </w:rPr>
      </w:pPr>
      <w:r>
        <w:rPr>
          <w:rFonts w:hint="eastAsia" w:ascii="宋体" w:hAnsi="宋体"/>
          <w:sz w:val="28"/>
          <w:szCs w:val="28"/>
        </w:rPr>
        <w:t xml:space="preserve">1.本合同任何一方给另一方的通知都应以书面形式发送，而另一方应以书面形式确认并发送到对方明确的地址。</w:t>
      </w:r>
      <w:r/>
    </w:p>
    <w:p>
      <w:pPr>
        <w:ind w:firstLine="562"/>
        <w:spacing w:line="500" w:lineRule="exact"/>
        <w:rPr>
          <w:rFonts w:ascii="宋体" w:hAnsi="宋体"/>
          <w:b/>
          <w:sz w:val="28"/>
          <w:szCs w:val="28"/>
        </w:rPr>
      </w:pPr>
      <w:r>
        <w:rPr>
          <w:rFonts w:hint="eastAsia" w:ascii="宋体" w:hAnsi="宋体"/>
          <w:b/>
          <w:sz w:val="28"/>
          <w:szCs w:val="28"/>
        </w:rPr>
        <w:t xml:space="preserve">十九．合同文件及资料的保密</w:t>
      </w:r>
      <w:r/>
    </w:p>
    <w:p>
      <w:pPr>
        <w:ind w:firstLine="542"/>
        <w:spacing w:line="500" w:lineRule="exact"/>
        <w:rPr>
          <w:rFonts w:ascii="宋体" w:hAnsi="宋体"/>
          <w:sz w:val="28"/>
          <w:szCs w:val="28"/>
        </w:rPr>
      </w:pPr>
      <w:r>
        <w:rPr>
          <w:rFonts w:hint="eastAsia" w:ascii="宋体" w:hAnsi="宋体"/>
          <w:sz w:val="28"/>
          <w:szCs w:val="28"/>
        </w:rPr>
        <w:t xml:space="preserve">1.在未经甲方同意的情况下，乙方不得将合同、合同中的规定、有关研究、设计图纸、式样、样本或甲方为乙方提供的资料透露给任何人。</w:t>
      </w:r>
      <w:r/>
    </w:p>
    <w:p>
      <w:pPr>
        <w:ind w:firstLine="560"/>
        <w:spacing w:line="500" w:lineRule="exact"/>
        <w:rPr>
          <w:rFonts w:ascii="宋体" w:hAnsi="宋体"/>
          <w:sz w:val="28"/>
          <w:szCs w:val="28"/>
        </w:rPr>
      </w:pPr>
      <w:r>
        <w:rPr>
          <w:rFonts w:hint="eastAsia" w:ascii="宋体" w:hAnsi="宋体"/>
          <w:sz w:val="28"/>
          <w:szCs w:val="28"/>
        </w:rPr>
        <w:t xml:space="preserve">2.除合同本身以外，乙方从甲方处获得的所有资料其知识产权归甲方所有，乙方应于其合同义务履行完毕以后将这些资料（包括所有副本）退还甲方。</w:t>
      </w:r>
      <w:r/>
    </w:p>
    <w:p>
      <w:pPr>
        <w:ind w:firstLine="562"/>
        <w:spacing w:line="500" w:lineRule="exact"/>
        <w:rPr>
          <w:rFonts w:ascii="宋体" w:hAnsi="宋体"/>
          <w:b/>
          <w:sz w:val="28"/>
          <w:szCs w:val="28"/>
        </w:rPr>
      </w:pPr>
      <w:r>
        <w:rPr>
          <w:rFonts w:hint="eastAsia" w:ascii="宋体" w:hAnsi="宋体"/>
          <w:b/>
          <w:sz w:val="28"/>
          <w:szCs w:val="28"/>
        </w:rPr>
        <w:t xml:space="preserve">二十．合同生效及其他</w:t>
      </w:r>
      <w:r/>
    </w:p>
    <w:p>
      <w:pPr>
        <w:ind w:firstLine="560"/>
        <w:spacing w:line="500" w:lineRule="exact"/>
        <w:rPr>
          <w:rFonts w:ascii="宋体" w:hAnsi="宋体"/>
          <w:sz w:val="28"/>
          <w:szCs w:val="28"/>
        </w:rPr>
      </w:pPr>
      <w:r>
        <w:rPr>
          <w:rFonts w:hint="eastAsia" w:ascii="宋体" w:hAnsi="宋体"/>
          <w:sz w:val="28"/>
          <w:szCs w:val="28"/>
        </w:rPr>
        <w:t xml:space="preserve">1.除合同中另有说明，本合同经双方法定代表人或其委托代理人签字并加盖公章或合同专用章后，即开始生效。</w:t>
      </w:r>
      <w:r/>
    </w:p>
    <w:p>
      <w:pPr>
        <w:ind w:firstLine="560"/>
        <w:spacing w:line="500" w:lineRule="exact"/>
        <w:rPr>
          <w:rFonts w:ascii="宋体" w:hAnsi="宋体"/>
          <w:sz w:val="28"/>
          <w:szCs w:val="28"/>
        </w:rPr>
      </w:pPr>
      <w:r>
        <w:rPr>
          <w:rFonts w:hint="eastAsia" w:ascii="宋体" w:hAnsi="宋体"/>
          <w:sz w:val="28"/>
          <w:szCs w:val="28"/>
        </w:rPr>
        <w:t xml:space="preserve">2.合同一式肆份，具有同等法律效力。</w:t>
      </w:r>
      <w:r/>
    </w:p>
    <w:p>
      <w:pPr>
        <w:ind w:firstLine="562"/>
        <w:spacing w:line="500" w:lineRule="exact"/>
        <w:rPr>
          <w:rFonts w:ascii="宋体" w:hAnsi="宋体"/>
          <w:b/>
          <w:sz w:val="28"/>
          <w:szCs w:val="28"/>
        </w:rPr>
      </w:pPr>
      <w:r>
        <w:rPr>
          <w:rFonts w:hint="eastAsia" w:ascii="宋体" w:hAnsi="宋体"/>
          <w:b/>
          <w:sz w:val="28"/>
          <w:szCs w:val="28"/>
        </w:rPr>
        <w:t xml:space="preserve">二十一．合同文件及解释顺序</w:t>
      </w:r>
      <w:r/>
    </w:p>
    <w:p>
      <w:pPr>
        <w:ind w:firstLine="560"/>
        <w:spacing w:line="500" w:lineRule="exact"/>
        <w:rPr>
          <w:rFonts w:ascii="宋体" w:hAnsi="宋体"/>
          <w:sz w:val="28"/>
          <w:szCs w:val="28"/>
        </w:rPr>
      </w:pPr>
      <w:r>
        <w:rPr>
          <w:rFonts w:hint="eastAsia" w:ascii="宋体" w:hAnsi="宋体"/>
          <w:sz w:val="28"/>
          <w:szCs w:val="28"/>
        </w:rPr>
        <w:t xml:space="preserve">下列文件均为合同组成文件</w:t>
      </w:r>
      <w:r/>
    </w:p>
    <w:p>
      <w:pPr>
        <w:ind w:firstLine="560"/>
        <w:spacing w:line="500" w:lineRule="exact"/>
        <w:rPr>
          <w:rFonts w:ascii="宋体" w:hAnsi="宋体"/>
          <w:sz w:val="28"/>
          <w:szCs w:val="28"/>
        </w:rPr>
      </w:pPr>
      <w:r>
        <w:rPr>
          <w:rFonts w:hint="eastAsia" w:ascii="宋体" w:hAnsi="宋体"/>
          <w:sz w:val="28"/>
          <w:szCs w:val="28"/>
        </w:rPr>
        <w:t xml:space="preserve">1.招标文件（包括澄清、答疑、修改和补充通知）</w:t>
      </w:r>
      <w:r/>
    </w:p>
    <w:p>
      <w:pPr>
        <w:ind w:firstLine="560"/>
        <w:spacing w:line="500" w:lineRule="exact"/>
        <w:rPr>
          <w:rFonts w:ascii="宋体" w:hAnsi="宋体"/>
          <w:sz w:val="28"/>
          <w:szCs w:val="28"/>
        </w:rPr>
      </w:pPr>
      <w:r>
        <w:rPr>
          <w:rFonts w:hint="eastAsia" w:ascii="宋体" w:hAnsi="宋体"/>
          <w:sz w:val="28"/>
          <w:szCs w:val="28"/>
        </w:rPr>
        <w:t xml:space="preserve">2.投标文件（包括修改、澄清）</w:t>
      </w:r>
      <w:r/>
    </w:p>
    <w:p>
      <w:pPr>
        <w:ind w:firstLine="560"/>
        <w:spacing w:line="500" w:lineRule="exact"/>
        <w:rPr>
          <w:rFonts w:ascii="宋体" w:hAnsi="宋体"/>
          <w:sz w:val="28"/>
          <w:szCs w:val="28"/>
        </w:rPr>
      </w:pPr>
      <w:r>
        <w:rPr>
          <w:rFonts w:hint="eastAsia" w:ascii="宋体" w:hAnsi="宋体"/>
          <w:sz w:val="28"/>
          <w:szCs w:val="28"/>
        </w:rPr>
        <w:t xml:space="preserve">3.中标通知书（包括投标人“回执”）</w:t>
      </w:r>
      <w:r/>
    </w:p>
    <w:p>
      <w:pPr>
        <w:ind w:firstLine="560"/>
        <w:spacing w:line="500" w:lineRule="exact"/>
        <w:rPr>
          <w:rFonts w:ascii="宋体" w:hAnsi="宋体"/>
          <w:sz w:val="28"/>
          <w:szCs w:val="28"/>
        </w:rPr>
      </w:pPr>
      <w:r>
        <w:rPr>
          <w:rFonts w:hint="eastAsia" w:ascii="宋体" w:hAnsi="宋体"/>
          <w:sz w:val="28"/>
          <w:szCs w:val="28"/>
        </w:rPr>
        <w:t xml:space="preserve">4.双方商定的补充协议或合同期内双方签署的备忘录</w:t>
      </w:r>
      <w:r/>
    </w:p>
    <w:p>
      <w:pPr>
        <w:ind w:firstLine="560"/>
        <w:spacing w:line="500" w:lineRule="exact"/>
        <w:rPr>
          <w:rFonts w:ascii="宋体" w:hAnsi="宋体"/>
          <w:sz w:val="28"/>
          <w:szCs w:val="28"/>
        </w:rPr>
      </w:pPr>
      <w:r>
        <w:rPr>
          <w:rFonts w:hint="eastAsia" w:ascii="宋体" w:hAnsi="宋体"/>
          <w:sz w:val="28"/>
          <w:szCs w:val="28"/>
        </w:rPr>
        <w:t xml:space="preserve">5.双方签署的合同谈判备忘录</w:t>
      </w:r>
      <w:r/>
    </w:p>
    <w:p>
      <w:pPr>
        <w:ind w:firstLine="560"/>
        <w:spacing w:line="500" w:lineRule="exact"/>
        <w:rPr>
          <w:rFonts w:ascii="宋体" w:hAnsi="宋体"/>
          <w:sz w:val="28"/>
          <w:szCs w:val="28"/>
        </w:rPr>
      </w:pPr>
      <w:r>
        <w:rPr>
          <w:rFonts w:hint="eastAsia" w:ascii="宋体" w:hAnsi="宋体"/>
          <w:sz w:val="28"/>
          <w:szCs w:val="28"/>
        </w:rPr>
        <w:t xml:space="preserve">6.与本合同有关的其他文件</w:t>
      </w:r>
      <w:r/>
    </w:p>
    <w:p>
      <w:pPr>
        <w:ind w:firstLine="420"/>
        <w:jc w:val="left"/>
        <w:spacing w:line="500" w:lineRule="exact"/>
        <w:rPr>
          <w:rFonts w:ascii="宋体" w:hAnsi="宋体"/>
          <w:b/>
          <w:bCs/>
          <w:sz w:val="28"/>
          <w:szCs w:val="28"/>
          <w:lang w:val="zh-CN"/>
        </w:rPr>
      </w:pPr>
      <w:r>
        <w:rPr>
          <w:rFonts w:hint="eastAsia" w:ascii="宋体" w:hAnsi="宋体"/>
          <w:b/>
          <w:bCs/>
          <w:sz w:val="28"/>
          <w:szCs w:val="28"/>
          <w:lang w:val="zh-CN"/>
        </w:rPr>
        <w:t xml:space="preserve">二十二</w:t>
      </w:r>
      <w:r>
        <w:rPr>
          <w:rFonts w:hint="eastAsia" w:ascii="宋体" w:hAnsi="宋体"/>
          <w:b/>
          <w:sz w:val="28"/>
          <w:szCs w:val="28"/>
        </w:rPr>
        <w:t xml:space="preserve">．</w:t>
      </w:r>
      <w:r>
        <w:rPr>
          <w:rFonts w:hint="eastAsia" w:ascii="宋体" w:hAnsi="宋体"/>
          <w:b/>
          <w:bCs/>
          <w:sz w:val="28"/>
          <w:szCs w:val="28"/>
          <w:lang w:val="zh-CN"/>
        </w:rPr>
        <w:t xml:space="preserve">合同的变更和终止</w:t>
      </w:r>
      <w:r/>
    </w:p>
    <w:p>
      <w:pPr>
        <w:ind w:firstLine="560"/>
        <w:spacing w:line="500" w:lineRule="exact"/>
        <w:rPr>
          <w:rFonts w:ascii="宋体" w:hAnsi="宋体"/>
          <w:sz w:val="28"/>
          <w:szCs w:val="28"/>
        </w:rPr>
      </w:pPr>
      <w:r>
        <w:rPr>
          <w:rFonts w:hint="eastAsia" w:ascii="宋体" w:hAnsi="宋体"/>
          <w:sz w:val="28"/>
          <w:szCs w:val="28"/>
        </w:rPr>
        <w:t xml:space="preserve">1.除《政府采购法》第50条第二款规定的情形外，本合同一经签订，甲乙双方不得擅自变更、中止或终止合同。</w:t>
      </w:r>
      <w:r/>
    </w:p>
    <w:p>
      <w:pPr>
        <w:ind w:firstLine="560"/>
        <w:spacing w:line="500" w:lineRule="exact"/>
        <w:rPr>
          <w:rFonts w:ascii="宋体" w:hAnsi="宋体"/>
          <w:sz w:val="28"/>
          <w:szCs w:val="28"/>
        </w:rPr>
      </w:pPr>
      <w:r>
        <w:rPr>
          <w:rFonts w:hint="eastAsia" w:ascii="宋体" w:hAnsi="宋体"/>
          <w:sz w:val="28"/>
          <w:szCs w:val="28"/>
        </w:rPr>
        <w:t xml:space="preserve">2.除发生法律规定的不能预见、不能避免并不能克服的客观情况外，甲乙双方不得放弃或拒绝履行合同。乙方放弃或拒绝履行合同，在三年内不得参加政府采购活动。</w:t>
      </w:r>
      <w:r/>
    </w:p>
    <w:p>
      <w:pPr>
        <w:jc w:val="center"/>
        <w:spacing w:line="500" w:lineRule="exact"/>
        <w:rPr>
          <w:rFonts w:eastAsia="黑体"/>
          <w:sz w:val="52"/>
        </w:rPr>
      </w:pPr>
      <w:r>
        <w:rPr>
          <w:rFonts w:eastAsia="黑体"/>
          <w:sz w:val="52"/>
        </w:rPr>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甲方：（盖章）                乙方：（盖章）</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法定代表人                   </w:t>
      </w:r>
      <w:r>
        <w:rPr>
          <w:rFonts w:hint="eastAsia" w:ascii="宋体" w:hAnsi="宋体"/>
          <w:sz w:val="28"/>
          <w:szCs w:val="28"/>
          <w:lang w:val="en-US" w:eastAsia="zh-CN"/>
        </w:rPr>
        <w:t xml:space="preserve"> </w:t>
      </w:r>
      <w:r>
        <w:rPr>
          <w:rFonts w:hint="eastAsia" w:ascii="宋体" w:hAnsi="宋体"/>
          <w:sz w:val="28"/>
          <w:szCs w:val="28"/>
        </w:rPr>
        <w:t xml:space="preserve">法定代表人</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（或授权代理人）：           （或授权代理人）：</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单位地址：泰兴市文昌东路6号  单位地址：</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邮    编：</w:t>
      </w:r>
      <w:r>
        <w:rPr>
          <w:rFonts w:hint="eastAsia" w:ascii="宋体" w:hAnsi="宋体"/>
          <w:sz w:val="28"/>
          <w:szCs w:val="28"/>
          <w:lang w:val="en-US" w:eastAsia="zh-CN"/>
        </w:rPr>
        <w:t xml:space="preserve">225400</w:t>
      </w:r>
      <w:r>
        <w:rPr>
          <w:rFonts w:hint="eastAsia" w:ascii="宋体" w:hAnsi="宋体"/>
          <w:sz w:val="28"/>
          <w:szCs w:val="28"/>
        </w:rPr>
        <w:t xml:space="preserve">             </w:t>
      </w:r>
      <w:r>
        <w:rPr>
          <w:rFonts w:hint="eastAsia" w:ascii="宋体" w:hAnsi="宋体"/>
          <w:sz w:val="28"/>
          <w:szCs w:val="28"/>
          <w:lang w:val="en-US" w:eastAsia="zh-CN"/>
        </w:rPr>
        <w:t xml:space="preserve"> </w:t>
      </w:r>
      <w:r>
        <w:rPr>
          <w:rFonts w:hint="eastAsia" w:ascii="宋体" w:hAnsi="宋体"/>
          <w:sz w:val="28"/>
          <w:szCs w:val="28"/>
        </w:rPr>
        <w:t xml:space="preserve">邮    编：</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电    话：</w:t>
      </w:r>
      <w:r>
        <w:rPr>
          <w:rFonts w:hint="eastAsia" w:ascii="宋体" w:hAnsi="宋体" w:eastAsia="宋体" w:cs="宋体"/>
          <w:sz w:val="28"/>
          <w:szCs w:val="28"/>
        </w:rPr>
        <w:t xml:space="preserve">0523-</w:t>
      </w:r>
      <w:r>
        <w:rPr>
          <w:rFonts w:hint="eastAsia" w:ascii="宋体" w:hAnsi="宋体" w:eastAsia="宋体" w:cs="宋体"/>
          <w:sz w:val="28"/>
          <w:szCs w:val="28"/>
          <w:lang w:val="en-US" w:eastAsia="zh-CN"/>
        </w:rPr>
        <w:t xml:space="preserve">80721685</w:t>
      </w:r>
      <w:r>
        <w:rPr>
          <w:rFonts w:hint="eastAsia" w:ascii="宋体" w:hAnsi="宋体"/>
          <w:sz w:val="28"/>
          <w:szCs w:val="28"/>
        </w:rPr>
        <w:t xml:space="preserve">      电    话：</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传    真：87626742            传    真：</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开户银行：                    开户银行：</w:t>
      </w:r>
      <w:r/>
    </w:p>
    <w:p>
      <w:pPr>
        <w:keepLines w:val="0"/>
        <w:keepNext w:val="0"/>
        <w:pageBreakBefore w:val="0"/>
        <w:spacing w:line="460" w:lineRule="exact"/>
        <w:widowControl w:val="off"/>
        <w:tabs>
          <w:tab w:val="left" w:pos="4680" w:leader="none"/>
          <w:tab w:val="left" w:pos="4860" w:leader="none"/>
        </w:tabs>
        <w:rPr>
          <w:rFonts w:ascii="宋体" w:cs="宋体"/>
          <w:sz w:val="21"/>
          <w:szCs w:val="21"/>
        </w:rPr>
      </w:pPr>
      <w:r>
        <w:rPr>
          <w:rFonts w:hint="eastAsia" w:ascii="宋体" w:hAnsi="宋体"/>
          <w:sz w:val="28"/>
          <w:szCs w:val="28"/>
        </w:rPr>
        <w:t xml:space="preserve">帐    号：                    帐    号：</w:t>
      </w:r>
      <w:bookmarkEnd w:id="241"/>
      <w:r/>
      <w:bookmarkEnd w:id="242"/>
      <w:r/>
      <w:bookmarkEnd w:id="243"/>
      <w:r/>
      <w:bookmarkEnd w:id="244"/>
      <w:r/>
      <w:bookmarkEnd w:id="245"/>
      <w:r/>
      <w:bookmarkEnd w:id="246"/>
      <w:r/>
      <w:bookmarkEnd w:id="247"/>
      <w:r/>
      <w:bookmarkEnd w:id="248"/>
      <w:r/>
      <w:bookmarkEnd w:id="249"/>
      <w:r/>
      <w:r/>
    </w:p>
    <w:p>
      <w:pPr>
        <w:jc w:val="left"/>
        <w:widowControl/>
        <w:rPr>
          <w:rFonts w:ascii="黑体" w:hAnsi="黑体" w:eastAsia="黑体"/>
          <w:sz w:val="44"/>
          <w:szCs w:val="44"/>
        </w:rPr>
      </w:pPr>
      <w:r>
        <w:rPr>
          <w:rFonts w:ascii="黑体" w:hAnsi="黑体" w:eastAsia="黑体"/>
          <w:sz w:val="44"/>
          <w:szCs w:val="44"/>
        </w:rPr>
        <w:br w:type="page" w:clear="all"/>
      </w:r>
      <w:r/>
    </w:p>
    <w:p>
      <w:pPr>
        <w:jc w:val="center"/>
        <w:rPr>
          <w:rFonts w:ascii="黑体" w:hAnsi="黑体" w:eastAsia="黑体"/>
          <w:sz w:val="44"/>
          <w:szCs w:val="44"/>
        </w:rPr>
      </w:pPr>
      <w:r>
        <w:rPr>
          <w:rFonts w:ascii="黑体" w:hAnsi="黑体" w:eastAsia="黑体"/>
          <w:sz w:val="44"/>
          <w:szCs w:val="44"/>
        </w:rPr>
        <w:t xml:space="preserve">第五章</w:t>
      </w:r>
      <w:r>
        <w:rPr>
          <w:rFonts w:hint="eastAsia" w:ascii="黑体" w:hAnsi="黑体" w:eastAsia="黑体"/>
          <w:sz w:val="44"/>
          <w:szCs w:val="44"/>
        </w:rPr>
        <w:t xml:space="preserve"> 采购需求</w:t>
      </w:r>
      <w:r/>
    </w:p>
    <w:p>
      <w:pPr>
        <w:ind w:firstLine="560"/>
        <w:jc w:val="both"/>
        <w:spacing w:after="0" w:line="580" w:lineRule="exact"/>
        <w:rPr>
          <w:rFonts w:hint="eastAsia" w:ascii="Times New Roman" w:hAnsi="Times New Roman" w:eastAsia="仿宋_GB2312"/>
          <w:sz w:val="32"/>
          <w:szCs w:val="32"/>
          <w:lang w:eastAsia="zh-CN"/>
        </w:rPr>
      </w:pPr>
      <w:r>
        <w:rPr>
          <w:rFonts w:hint="eastAsia" w:ascii="Times New Roman" w:hAnsi="Times New Roman" w:eastAsia="仿宋_GB2312"/>
          <w:sz w:val="32"/>
          <w:szCs w:val="32"/>
          <w:lang w:eastAsia="zh-CN"/>
        </w:rPr>
        <w:t xml:space="preserve">（1）项目概况：根据上级文件要求和泰兴实际，为维护法定规划的严肃性，保证当前建设发展的实际需求，开展详细规划（含村庄规划）调整工作，包括动态更新（勘误、技术修正）和规划修编（包括规划修改、数据库质检备案等）。</w:t>
      </w:r>
      <w:r/>
    </w:p>
    <w:p>
      <w:pPr>
        <w:ind w:firstLine="560"/>
        <w:jc w:val="both"/>
        <w:spacing w:after="0" w:line="580" w:lineRule="exact"/>
        <w:rPr>
          <w:rFonts w:hint="eastAsia" w:ascii="Times New Roman" w:hAnsi="Times New Roman" w:eastAsia="仿宋_GB2312"/>
          <w:sz w:val="32"/>
          <w:szCs w:val="32"/>
          <w:lang w:eastAsia="zh-CN"/>
        </w:rPr>
      </w:pPr>
      <w:r>
        <w:rPr>
          <w:rFonts w:hint="eastAsia" w:ascii="Times New Roman" w:hAnsi="Times New Roman" w:eastAsia="仿宋_GB2312"/>
          <w:sz w:val="32"/>
          <w:szCs w:val="32"/>
          <w:lang w:eastAsia="zh-CN"/>
        </w:rPr>
        <w:t xml:space="preserve">（2）服务范围：泰兴市全域，具体服务范围由甲方在实际调整工作中确定。</w:t>
      </w:r>
      <w:r/>
    </w:p>
    <w:p>
      <w:pPr>
        <w:ind w:firstLine="560"/>
        <w:jc w:val="both"/>
        <w:spacing w:after="0" w:line="580" w:lineRule="exact"/>
        <w:rPr>
          <w:rFonts w:hint="eastAsia" w:ascii="Times New Roman" w:hAnsi="Times New Roman" w:eastAsia="仿宋_GB2312"/>
          <w:sz w:val="32"/>
          <w:szCs w:val="32"/>
          <w:lang w:eastAsia="zh-CN"/>
        </w:rPr>
      </w:pPr>
      <w:r>
        <w:rPr>
          <w:rFonts w:hint="eastAsia" w:ascii="Times New Roman" w:hAnsi="Times New Roman" w:eastAsia="仿宋_GB2312"/>
          <w:sz w:val="32"/>
          <w:szCs w:val="32"/>
          <w:lang w:eastAsia="zh-CN"/>
        </w:rPr>
        <w:t xml:space="preserve">（3）工作任务：解读现行城镇开发边界范围内详细规划和城镇开发边界范围外村庄规划，进一步明确规划范围内实际建设发展需求，把握调整的动因和背景，分析调整工作的必要性。对拟调整地块现状用地、建筑、交通基础设施等各方面情况进行调研梳理，有必要可扩大范围同步分析周边地区情况。根据调整需求和实际情况，提出调整方案，保障调整方案的科学性和可实施性，必要时需加强重点问题的分析研究。</w:t>
      </w:r>
      <w:r/>
    </w:p>
    <w:p>
      <w:pPr>
        <w:ind w:firstLine="560"/>
        <w:jc w:val="both"/>
        <w:spacing w:after="0" w:line="580" w:lineRule="exact"/>
        <w:rPr>
          <w:rFonts w:hint="eastAsia" w:ascii="Times New Roman" w:hAnsi="Times New Roman" w:eastAsia="仿宋_GB2312"/>
          <w:sz w:val="32"/>
          <w:szCs w:val="32"/>
          <w:lang w:eastAsia="zh-CN"/>
        </w:rPr>
      </w:pPr>
      <w:r>
        <w:rPr>
          <w:rFonts w:hint="eastAsia" w:ascii="Times New Roman" w:hAnsi="Times New Roman" w:eastAsia="仿宋_GB2312"/>
          <w:sz w:val="32"/>
          <w:szCs w:val="32"/>
          <w:lang w:eastAsia="zh-CN"/>
        </w:rPr>
        <w:t xml:space="preserve">（4）成果要求：规划成果包括文本、图件、数据库以及相关附件等，包括纸质文本和电子文件。</w:t>
      </w:r>
      <w:r/>
    </w:p>
    <w:p>
      <w:pPr>
        <w:ind w:firstLine="560"/>
        <w:jc w:val="both"/>
        <w:spacing w:after="0" w:line="580" w:lineRule="exact"/>
        <w:rPr>
          <w:rFonts w:hint="eastAsia" w:ascii="Times New Roman" w:hAnsi="Times New Roman" w:eastAsia="仿宋_GB2312"/>
          <w:sz w:val="32"/>
          <w:szCs w:val="32"/>
          <w:lang w:eastAsia="zh-CN"/>
        </w:rPr>
      </w:pPr>
      <w:r>
        <w:rPr>
          <w:rFonts w:hint="eastAsia" w:ascii="Times New Roman" w:hAnsi="Times New Roman" w:eastAsia="仿宋_GB2312"/>
          <w:sz w:val="32"/>
          <w:szCs w:val="32"/>
          <w:lang w:eastAsia="zh-CN"/>
        </w:rPr>
        <w:t xml:space="preserve">（5）时间和金额要求：合同签订后一年内按实际工作量结算，如超过中标价按中标价结算，且调整总数不超过预计数的1.2倍。服务费用分两次结算，分别为2026年12月31日和2027年6月30日。详细规划（含村庄规划）修编（包括规划修改、数据库质检备案等）预计60个、详细规划（含村庄规划）动态更新（勘误、技术修正）预计300个，村庄规划按行政村数量计数、详细规划按图则数量计数，投标报价包括总价和单个价格，其中动态更新（勘误、技术修正）按单价的50%计价。</w:t>
      </w:r>
      <w:r>
        <w:rPr>
          <w:rFonts w:hint="eastAsia" w:ascii="Times New Roman" w:hAnsi="Times New Roman" w:eastAsia="仿宋_GB2312"/>
          <w:sz w:val="32"/>
          <w:szCs w:val="32"/>
          <w:lang w:val="en-US" w:eastAsia="zh-CN"/>
        </w:rPr>
        <w:t xml:space="preserve">单价=总价/（60+300*50%）。</w:t>
      </w:r>
      <w:r>
        <w:rPr>
          <w:rFonts w:hint="eastAsia" w:ascii="Times New Roman" w:hAnsi="Times New Roman" w:eastAsia="仿宋_GB2312"/>
          <w:sz w:val="32"/>
          <w:szCs w:val="32"/>
          <w:lang w:eastAsia="zh-CN"/>
        </w:rPr>
        <w:t xml:space="preserve">总价不超过184万元。</w:t>
      </w:r>
      <w:r/>
    </w:p>
    <w:p>
      <w:pPr>
        <w:rPr>
          <w:rFonts w:hint="eastAsia" w:ascii="Times New Roman" w:hAnsi="Times New Roman" w:eastAsia="仿宋_GB2312"/>
          <w:sz w:val="32"/>
          <w:szCs w:val="32"/>
          <w:lang w:eastAsia="zh-CN"/>
        </w:rPr>
        <w:sectPr>
          <w:footerReference w:type="default" r:id="rId8"/>
          <w:footnotePr/>
          <w:endnotePr/>
          <w:type w:val="nextPage"/>
          <w:pgSz w:w="11906" w:h="16838" w:orient="portrait"/>
          <w:pgMar w:top="1247" w:right="1735" w:bottom="1191" w:left="1531" w:header="851" w:footer="992" w:gutter="0"/>
          <w:cols w:num="1" w:sep="0" w:space="720" w:equalWidth="1"/>
          <w:docGrid w:linePitch="360"/>
        </w:sectPr>
      </w:pPr>
      <w:r>
        <w:rPr>
          <w:rFonts w:hint="eastAsia" w:ascii="Times New Roman" w:hAnsi="Times New Roman" w:eastAsia="仿宋_GB2312"/>
          <w:sz w:val="32"/>
          <w:szCs w:val="32"/>
          <w:lang w:eastAsia="zh-CN"/>
        </w:rPr>
        <w:t xml:space="preserve">（6）政策依据：《自然资源部关于加强国土空间详细规划工作的通知》（自然资发〔20</w:t>
      </w:r>
      <w:r>
        <w:rPr>
          <w:rFonts w:hint="eastAsia" w:ascii="Times New Roman" w:hAnsi="Times New Roman" w:eastAsia="仿宋_GB2312"/>
          <w:sz w:val="32"/>
          <w:szCs w:val="32"/>
          <w:lang w:eastAsia="zh-CN"/>
        </w:rPr>
        <w:t xml:space="preserve">23〕43号）、《江苏自然资源厅转发自然资源部关于加强国土空间详细规划工作的通知》（苏自然资函〔2022〕1474号）、《江苏省自然资源厅关于加强详细规划管理的通知》（苏自然资发〔2021〕267号）、《江苏省城镇开发边界内详细规划编制指南》、《江苏省村庄规划编制指南（2025年版）》、《泰州市自然资源和规划局关于印发&lt;泰州市村庄规划动态优化管理办法（试行）&gt;的通知》（泰自然资规〔2025〕1 号）、《泰州市政府办公室关于印发&lt;泰州市区国土空间详细规划动态更新管理办法&gt;的通知》（泰政办规〔2024〕4号）。</w:t>
      </w:r>
      <w:r/>
    </w:p>
    <w:p>
      <w:pPr>
        <w:rPr>
          <w:rFonts w:hint="eastAsia" w:ascii="Times New Roman" w:hAnsi="Times New Roman" w:eastAsia="仿宋_GB2312"/>
          <w:sz w:val="32"/>
          <w:szCs w:val="32"/>
          <w:lang w:eastAsia="zh-CN"/>
        </w:rPr>
      </w:pPr>
      <w:r>
        <w:rPr>
          <w:rFonts w:hint="eastAsia" w:ascii="Times New Roman" w:hAnsi="Times New Roman" w:eastAsia="仿宋_GB2312"/>
          <w:sz w:val="32"/>
          <w:szCs w:val="32"/>
          <w:lang w:eastAsia="zh-CN"/>
        </w:rPr>
      </w:r>
      <w:r/>
    </w:p>
    <w:p>
      <w:pPr>
        <w:jc w:val="center"/>
        <w:rPr>
          <w:rFonts w:ascii="黑体" w:hAnsi="黑体" w:eastAsia="黑体"/>
          <w:b/>
        </w:rPr>
      </w:pPr>
      <w:r>
        <w:rPr>
          <w:rFonts w:ascii="黑体" w:hAnsi="黑体" w:eastAsia="黑体"/>
          <w:sz w:val="44"/>
          <w:szCs w:val="44"/>
        </w:rPr>
        <w:t xml:space="preserve">第六章</w:t>
      </w:r>
      <w:r>
        <w:rPr>
          <w:rFonts w:hint="eastAsia" w:ascii="黑体" w:hAnsi="黑体" w:eastAsia="黑体"/>
          <w:sz w:val="44"/>
          <w:szCs w:val="44"/>
        </w:rPr>
        <w:t xml:space="preserve"> </w:t>
      </w:r>
      <w:r>
        <w:rPr>
          <w:rFonts w:hint="eastAsia" w:ascii="黑体" w:hAnsi="黑体" w:eastAsia="黑体"/>
          <w:b/>
          <w:sz w:val="44"/>
          <w:szCs w:val="44"/>
        </w:rPr>
        <w:t xml:space="preserve">投标文件的编制要求及参考格式</w:t>
      </w:r>
      <w:r>
        <w:rPr>
          <w:rFonts w:ascii="黑体" w:hAnsi="黑体" w:eastAsia="黑体"/>
          <w:b/>
        </w:rPr>
        <w:t xml:space="preserve"> </w:t>
      </w:r>
      <w:bookmarkStart w:id="505" w:name="_Hlt26671244"/>
      <w:r/>
      <w:bookmarkEnd w:id="505"/>
      <w:r/>
      <w:bookmarkStart w:id="506" w:name="_Hlt26955039"/>
      <w:r/>
      <w:bookmarkEnd w:id="506"/>
      <w:r/>
      <w:bookmarkStart w:id="507" w:name="_Toc49090576"/>
      <w:r/>
      <w:bookmarkStart w:id="508" w:name="_Toc26554094"/>
      <w:r/>
      <w:bookmarkStart w:id="509" w:name="_Toc120614282"/>
      <w:r/>
      <w:bookmarkStart w:id="510" w:name="_Toc288030359"/>
      <w:r/>
      <w:bookmarkStart w:id="511" w:name="_Toc282446331"/>
      <w:r/>
      <w:r/>
    </w:p>
    <w:p>
      <w:pPr>
        <w:pStyle w:val="665"/>
        <w:ind w:left="646" w:firstLine="0"/>
        <w:jc w:val="center"/>
        <w:spacing w:line="360" w:lineRule="exact"/>
        <w:rPr>
          <w:rFonts w:ascii="黑体" w:hAnsi="黑体" w:eastAsia="黑体"/>
          <w:b/>
          <w:color w:val="auto"/>
          <w:sz w:val="44"/>
          <w:szCs w:val="44"/>
        </w:rPr>
        <w:outlineLvl w:val="0"/>
      </w:pPr>
      <w:r>
        <w:rPr>
          <w:rFonts w:ascii="黑体" w:hAnsi="黑体" w:eastAsia="黑体"/>
          <w:b/>
          <w:color w:val="auto"/>
          <w:sz w:val="44"/>
          <w:szCs w:val="44"/>
        </w:rPr>
      </w:r>
      <w:r/>
    </w:p>
    <w:p>
      <w:pPr>
        <w:spacing w:line="500" w:lineRule="exact"/>
        <w:rPr>
          <w:rFonts w:ascii="黑体" w:hAnsi="黑体" w:eastAsia="黑体"/>
          <w:sz w:val="32"/>
          <w:szCs w:val="32"/>
        </w:rPr>
      </w:pPr>
      <w:r/>
      <w:bookmarkStart w:id="512" w:name="_Toc426469932"/>
      <w:r>
        <w:rPr>
          <w:rFonts w:ascii="黑体" w:hAnsi="黑体" w:eastAsia="黑体"/>
          <w:sz w:val="32"/>
          <w:szCs w:val="32"/>
        </w:rPr>
        <w:t xml:space="preserve">1.</w:t>
      </w:r>
      <w:r>
        <w:rPr>
          <w:rFonts w:hint="eastAsia" w:ascii="黑体" w:hAnsi="黑体" w:eastAsia="黑体" w:cs="宋体"/>
          <w:sz w:val="32"/>
          <w:szCs w:val="32"/>
        </w:rPr>
        <w:t xml:space="preserve">投标文件的组成</w:t>
      </w:r>
      <w:bookmarkEnd w:id="512"/>
      <w:r/>
      <w:r/>
    </w:p>
    <w:p>
      <w:pPr>
        <w:ind w:firstLine="560"/>
        <w:spacing w:line="500" w:lineRule="exact"/>
        <w:rPr>
          <w:rFonts w:ascii="宋体"/>
          <w:sz w:val="28"/>
          <w:szCs w:val="28"/>
        </w:rPr>
      </w:pPr>
      <w:r/>
      <w:bookmarkStart w:id="513" w:name="_Toc426469933"/>
      <w:r>
        <w:rPr>
          <w:rFonts w:ascii="宋体"/>
          <w:sz w:val="28"/>
          <w:szCs w:val="28"/>
        </w:rPr>
        <w:t xml:space="preserve">见本招标文件第二章</w:t>
      </w:r>
      <w:r>
        <w:rPr>
          <w:rFonts w:hint="eastAsia" w:ascii="宋体"/>
          <w:sz w:val="28"/>
          <w:szCs w:val="28"/>
        </w:rPr>
        <w:t xml:space="preserve">3.1条。</w:t>
      </w:r>
      <w:r/>
    </w:p>
    <w:p>
      <w:pPr>
        <w:spacing w:line="500" w:lineRule="exact"/>
        <w:rPr>
          <w:rFonts w:ascii="黑体" w:hAnsi="黑体" w:eastAsia="黑体"/>
          <w:sz w:val="32"/>
          <w:szCs w:val="32"/>
        </w:rPr>
      </w:pPr>
      <w:r>
        <w:rPr>
          <w:rFonts w:ascii="黑体" w:hAnsi="黑体" w:eastAsia="黑体"/>
          <w:sz w:val="32"/>
          <w:szCs w:val="32"/>
        </w:rPr>
        <w:t xml:space="preserve">2.</w:t>
      </w:r>
      <w:r>
        <w:rPr>
          <w:rFonts w:hint="eastAsia" w:ascii="黑体" w:hAnsi="黑体" w:eastAsia="黑体" w:cs="宋体"/>
          <w:sz w:val="32"/>
          <w:szCs w:val="32"/>
        </w:rPr>
        <w:t xml:space="preserve">投标文件的编制内容及编制要求</w:t>
      </w:r>
      <w:bookmarkEnd w:id="513"/>
      <w:r/>
      <w:r/>
    </w:p>
    <w:p>
      <w:pPr>
        <w:spacing w:line="500" w:lineRule="exact"/>
        <w:rPr>
          <w:rFonts w:ascii="楷体" w:hAnsi="楷体" w:eastAsia="楷体"/>
          <w:b/>
          <w:sz w:val="28"/>
          <w:szCs w:val="28"/>
        </w:rPr>
      </w:pPr>
      <w:r>
        <w:rPr>
          <w:rFonts w:ascii="楷体" w:hAnsi="楷体" w:eastAsia="楷体"/>
          <w:b/>
          <w:sz w:val="28"/>
          <w:szCs w:val="28"/>
        </w:rPr>
        <w:t xml:space="preserve">2.1</w:t>
      </w:r>
      <w:r>
        <w:rPr>
          <w:rFonts w:hint="eastAsia" w:ascii="楷体" w:hAnsi="楷体" w:eastAsia="楷体" w:cs="宋体"/>
          <w:b/>
          <w:sz w:val="28"/>
          <w:szCs w:val="28"/>
        </w:rPr>
        <w:t xml:space="preserve">开标一览表</w:t>
      </w:r>
      <w:r/>
    </w:p>
    <w:p>
      <w:pPr>
        <w:ind w:firstLine="560"/>
        <w:spacing w:line="50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投标人应按表中格式完整、清晰、正确填写；</w:t>
      </w:r>
      <w:r/>
    </w:p>
    <w:p>
      <w:pPr>
        <w:ind w:firstLine="560"/>
        <w:spacing w:line="50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开标一览表中的价格应与投标文件中</w:t>
      </w:r>
      <w:bookmarkStart w:id="514" w:name="OLE_LINK8"/>
      <w:r>
        <w:rPr>
          <w:rFonts w:hint="eastAsia" w:ascii="宋体" w:hAnsi="宋体" w:cs="宋体"/>
          <w:sz w:val="28"/>
          <w:szCs w:val="28"/>
        </w:rPr>
        <w:t xml:space="preserve">投标报价明细表</w:t>
      </w:r>
      <w:bookmarkEnd w:id="514"/>
      <w:r>
        <w:rPr>
          <w:rFonts w:hint="eastAsia" w:ascii="宋体" w:hAnsi="宋体" w:cs="宋体"/>
          <w:sz w:val="28"/>
          <w:szCs w:val="28"/>
        </w:rPr>
        <w:t xml:space="preserve">中的价格一致。</w:t>
      </w:r>
      <w:r/>
    </w:p>
    <w:p>
      <w:pPr>
        <w:ind w:firstLine="560"/>
        <w:spacing w:line="500" w:lineRule="exact"/>
        <w:rPr>
          <w:rFonts w:ascii="宋体"/>
          <w:sz w:val="28"/>
          <w:szCs w:val="28"/>
        </w:rPr>
      </w:pPr>
      <w:r>
        <w:rPr>
          <w:rFonts w:ascii="宋体" w:hAnsi="宋体"/>
          <w:sz w:val="28"/>
          <w:szCs w:val="28"/>
        </w:rPr>
        <w:t xml:space="preserve">2.1.</w:t>
      </w:r>
      <w:r>
        <w:rPr>
          <w:rFonts w:hint="eastAsia" w:ascii="宋体" w:hAnsi="宋体"/>
          <w:sz w:val="28"/>
          <w:szCs w:val="28"/>
        </w:rPr>
        <w:t xml:space="preserve">3</w:t>
      </w:r>
      <w:r>
        <w:rPr>
          <w:rFonts w:hint="eastAsia" w:ascii="宋体" w:hAnsi="宋体" w:cs="宋体"/>
          <w:sz w:val="28"/>
          <w:szCs w:val="28"/>
        </w:rPr>
        <w:t xml:space="preserve">开标一览表格式见附件。</w:t>
      </w:r>
      <w:r/>
    </w:p>
    <w:p>
      <w:pPr>
        <w:spacing w:line="500" w:lineRule="exact"/>
        <w:rPr>
          <w:rFonts w:ascii="楷体" w:hAnsi="楷体" w:eastAsia="楷体"/>
          <w:b/>
          <w:sz w:val="28"/>
          <w:szCs w:val="28"/>
        </w:rPr>
      </w:pPr>
      <w:r>
        <w:rPr>
          <w:rFonts w:ascii="楷体" w:hAnsi="楷体" w:eastAsia="楷体"/>
          <w:b/>
          <w:sz w:val="28"/>
          <w:szCs w:val="28"/>
        </w:rPr>
        <w:t xml:space="preserve">2.2 </w:t>
      </w:r>
      <w:r>
        <w:rPr>
          <w:rFonts w:hint="eastAsia" w:ascii="楷体" w:hAnsi="楷体" w:eastAsia="楷体" w:cs="宋体"/>
          <w:b/>
          <w:sz w:val="28"/>
          <w:szCs w:val="28"/>
        </w:rPr>
        <w:t xml:space="preserve">投标函</w:t>
      </w:r>
      <w:r/>
    </w:p>
    <w:p>
      <w:pPr>
        <w:ind w:firstLine="560"/>
        <w:spacing w:line="500" w:lineRule="exact"/>
        <w:rPr>
          <w:rFonts w:ascii="宋体"/>
          <w:sz w:val="28"/>
          <w:szCs w:val="28"/>
        </w:rPr>
      </w:pPr>
      <w:r>
        <w:rPr>
          <w:rFonts w:ascii="宋体" w:hAnsi="宋体"/>
          <w:sz w:val="28"/>
          <w:szCs w:val="28"/>
        </w:rPr>
        <w:t xml:space="preserve">2.2.1</w:t>
      </w:r>
      <w:r>
        <w:rPr>
          <w:rFonts w:hint="eastAsia" w:ascii="宋体" w:hAnsi="宋体" w:cs="宋体"/>
          <w:sz w:val="28"/>
          <w:szCs w:val="28"/>
        </w:rPr>
        <w:t xml:space="preserve">投标人应按表中规定格式完整、清晰、正确填写；</w:t>
      </w:r>
      <w:r/>
    </w:p>
    <w:p>
      <w:pPr>
        <w:ind w:firstLine="560"/>
        <w:spacing w:line="500" w:lineRule="exact"/>
        <w:rPr>
          <w:rFonts w:ascii="宋体"/>
          <w:sz w:val="28"/>
          <w:szCs w:val="28"/>
        </w:rPr>
      </w:pPr>
      <w:r>
        <w:rPr>
          <w:rFonts w:ascii="宋体" w:hAnsi="宋体"/>
          <w:sz w:val="28"/>
          <w:szCs w:val="28"/>
        </w:rPr>
        <w:t xml:space="preserve">2.2.2</w:t>
      </w:r>
      <w:r>
        <w:rPr>
          <w:rFonts w:hint="eastAsia" w:ascii="宋体" w:hAnsi="宋体" w:cs="宋体"/>
          <w:sz w:val="28"/>
          <w:szCs w:val="28"/>
        </w:rPr>
        <w:t xml:space="preserve">投标函必须加盖投标人法人公章并经法定代表人签字或签章。</w:t>
      </w:r>
      <w:r/>
    </w:p>
    <w:p>
      <w:pPr>
        <w:spacing w:line="500" w:lineRule="exact"/>
        <w:rPr>
          <w:rFonts w:ascii="楷体" w:hAnsi="楷体" w:eastAsia="楷体"/>
          <w:b/>
          <w:sz w:val="28"/>
          <w:szCs w:val="28"/>
        </w:rPr>
      </w:pPr>
      <w:r>
        <w:rPr>
          <w:rFonts w:hint="eastAsia" w:ascii="楷体" w:hAnsi="楷体" w:eastAsia="楷体"/>
          <w:b/>
          <w:sz w:val="28"/>
          <w:szCs w:val="28"/>
        </w:rPr>
        <w:t xml:space="preserve">2.3资格条件证明文件</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）供应商基本资格条件承诺函；</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）招标文件要求的其他资格条件证明材料。</w:t>
      </w:r>
      <w:r/>
    </w:p>
    <w:p>
      <w:pPr>
        <w:spacing w:line="500" w:lineRule="exact"/>
        <w:rPr>
          <w:rFonts w:ascii="楷体" w:hAnsi="楷体" w:eastAsia="楷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4采购需求</w:t>
      </w:r>
      <w:r>
        <w:rPr>
          <w:rFonts w:hint="eastAsia" w:ascii="楷体" w:hAnsi="楷体" w:eastAsia="楷体" w:cs="宋体"/>
          <w:b/>
          <w:sz w:val="28"/>
          <w:szCs w:val="28"/>
        </w:rPr>
        <w:t xml:space="preserve">响应表</w:t>
      </w:r>
      <w:r/>
    </w:p>
    <w:p>
      <w:pPr>
        <w:ind w:firstLine="560"/>
        <w:spacing w:line="500" w:lineRule="exact"/>
        <w:rPr>
          <w:rFonts w:ascii="宋体" w:hAnsi="宋体"/>
          <w:b/>
          <w:sz w:val="28"/>
          <w:szCs w:val="28"/>
        </w:rPr>
      </w:pPr>
      <w:r>
        <w:rPr>
          <w:rFonts w:hint="eastAsia" w:ascii="宋体" w:hAnsi="宋体"/>
          <w:sz w:val="28"/>
          <w:szCs w:val="28"/>
        </w:rPr>
        <w:t xml:space="preserve">投标人应仔细阅读招标文件第五章采购需求，结合自身的实际情况，如实编制，格式自拟。</w:t>
      </w:r>
      <w:r>
        <w:rPr>
          <w:rFonts w:hint="eastAsia" w:ascii="宋体" w:hAnsi="宋体"/>
          <w:b/>
          <w:sz w:val="28"/>
          <w:szCs w:val="28"/>
        </w:rPr>
        <w:t xml:space="preserve">采购需求响应表须详细说明实际提供的服务及其他采购需求中相关要求的响应情况。</w:t>
      </w:r>
      <w:r/>
    </w:p>
    <w:p>
      <w:pPr>
        <w:spacing w:line="500" w:lineRule="exact"/>
        <w:rPr>
          <w:rFonts w:ascii="楷体" w:hAnsi="楷体" w:eastAsia="楷体" w:cs="宋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5</w:t>
      </w:r>
      <w:r>
        <w:rPr>
          <w:rFonts w:hint="eastAsia" w:ascii="楷体" w:hAnsi="楷体" w:eastAsia="楷体" w:cs="宋体"/>
          <w:b/>
          <w:sz w:val="28"/>
          <w:szCs w:val="28"/>
        </w:rPr>
        <w:t xml:space="preserve">投标人认为应列入投标文件的其他材料</w:t>
      </w:r>
      <w:r/>
    </w:p>
    <w:p>
      <w:pPr>
        <w:ind w:firstLine="560"/>
        <w:spacing w:line="500" w:lineRule="exact"/>
        <w:rPr>
          <w:rFonts w:ascii="宋体"/>
          <w:sz w:val="28"/>
          <w:szCs w:val="28"/>
        </w:rPr>
      </w:pPr>
      <w:r>
        <w:rPr>
          <w:rFonts w:hint="eastAsia" w:ascii="宋体" w:hAnsi="宋体"/>
          <w:sz w:val="28"/>
          <w:szCs w:val="28"/>
        </w:rPr>
        <w:t xml:space="preserve">投标人应对照第三章评标办法中的评审因素，结合自身的实际情况，如实编制，格式自拟。</w:t>
      </w:r>
      <w:r/>
    </w:p>
    <w:p>
      <w:pPr>
        <w:spacing w:line="500" w:lineRule="exact"/>
        <w:rPr>
          <w:rFonts w:ascii="黑体" w:hAnsi="黑体" w:eastAsia="黑体"/>
          <w:sz w:val="32"/>
          <w:szCs w:val="32"/>
        </w:rPr>
      </w:pPr>
      <w:r/>
      <w:bookmarkStart w:id="515" w:name="_Toc426469934"/>
      <w:r>
        <w:rPr>
          <w:rFonts w:ascii="黑体" w:hAnsi="黑体" w:eastAsia="黑体"/>
          <w:sz w:val="32"/>
          <w:szCs w:val="32"/>
        </w:rPr>
        <w:br w:type="page" w:clear="all"/>
      </w:r>
      <w:r>
        <w:rPr>
          <w:rFonts w:ascii="黑体" w:hAnsi="黑体" w:eastAsia="黑体"/>
          <w:sz w:val="32"/>
          <w:szCs w:val="32"/>
        </w:rPr>
        <w:t xml:space="preserve">3. </w:t>
      </w:r>
      <w:r>
        <w:rPr>
          <w:rFonts w:hint="eastAsia" w:ascii="黑体" w:hAnsi="黑体" w:eastAsia="黑体" w:cs="宋体"/>
          <w:sz w:val="32"/>
          <w:szCs w:val="32"/>
        </w:rPr>
        <w:t xml:space="preserve">投标文件参考格式</w:t>
      </w:r>
      <w:bookmarkEnd w:id="507"/>
      <w:r/>
      <w:bookmarkEnd w:id="508"/>
      <w:r/>
      <w:bookmarkEnd w:id="509"/>
      <w:r/>
      <w:bookmarkEnd w:id="510"/>
      <w:r/>
      <w:bookmarkEnd w:id="511"/>
      <w:r/>
      <w:bookmarkEnd w:id="515"/>
      <w:r/>
      <w:bookmarkStart w:id="516" w:name="_Toc426469936"/>
      <w:r/>
      <w:bookmarkStart w:id="517" w:name="_Toc426469937"/>
      <w:r/>
      <w:bookmarkStart w:id="518" w:name="_Toc382812507"/>
      <w:r/>
      <w:bookmarkStart w:id="519" w:name="_Toc390099111"/>
      <w:r/>
      <w:bookmarkStart w:id="520" w:name="_Toc390246998"/>
      <w:r/>
      <w:bookmarkStart w:id="521" w:name="_Toc383624021"/>
      <w:r/>
      <w:bookmarkStart w:id="522" w:name="_Toc382813957"/>
      <w:r/>
      <w:bookmarkStart w:id="523" w:name="_Toc383679822"/>
      <w:r/>
      <w:bookmarkStart w:id="524" w:name="_Toc383698722"/>
      <w:r/>
      <w:bookmarkStart w:id="525" w:name="_Toc382814038"/>
      <w:r/>
      <w:bookmarkStart w:id="526" w:name="_Toc383626069"/>
      <w:r/>
      <w:bookmarkStart w:id="527" w:name="_Toc382811607"/>
      <w:r/>
      <w:bookmarkStart w:id="528" w:name="_Toc390098915"/>
      <w:r/>
      <w:bookmarkStart w:id="529" w:name="_Toc383623749"/>
      <w:r/>
      <w:bookmarkStart w:id="530" w:name="_Toc383587529"/>
      <w:r/>
      <w:bookmarkStart w:id="531" w:name="_Toc382811202"/>
      <w:r/>
      <w:bookmarkStart w:id="532" w:name="_Toc382812316"/>
      <w:r/>
      <w:r/>
    </w:p>
    <w:p>
      <w:pPr>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1</w:t>
      </w:r>
      <w:r>
        <w:rPr>
          <w:rFonts w:hint="eastAsia" w:ascii="楷体" w:hAnsi="楷体" w:eastAsia="楷体" w:cs="宋体"/>
          <w:b/>
          <w:sz w:val="28"/>
          <w:szCs w:val="28"/>
        </w:rPr>
        <w:t xml:space="preserve">投标文件封面格式</w:t>
      </w:r>
      <w:bookmarkEnd w:id="516"/>
      <w:r/>
      <w:r/>
    </w:p>
    <w:p>
      <w:pPr>
        <w:ind w:firstLine="480"/>
        <w:jc w:val="center"/>
        <w:spacing w:line="360" w:lineRule="exact"/>
        <w:rPr>
          <w:rFonts w:ascii="宋体"/>
        </w:rPr>
      </w:pPr>
      <w:r>
        <w:rPr>
          <w:rFonts w:ascii="宋体"/>
        </w:rPr>
      </w:r>
      <w:r/>
    </w:p>
    <w:p>
      <w:pPr>
        <w:ind w:firstLine="480"/>
        <w:jc w:val="center"/>
        <w:spacing w:line="360" w:lineRule="exact"/>
        <w:rPr>
          <w:rFonts w:ascii="宋体"/>
        </w:rPr>
      </w:pPr>
      <w:r>
        <w:rPr>
          <w:rFonts w:ascii="宋体"/>
        </w:rPr>
      </w:r>
      <w:r/>
    </w:p>
    <w:p>
      <w:pPr>
        <w:jc w:val="center"/>
        <w:rPr>
          <w:rFonts w:ascii="宋体"/>
          <w:b/>
          <w:sz w:val="48"/>
          <w:szCs w:val="48"/>
        </w:rPr>
      </w:pPr>
      <w:r>
        <w:rPr>
          <w:rFonts w:hint="eastAsia" w:ascii="宋体"/>
          <w:b/>
          <w:sz w:val="48"/>
          <w:szCs w:val="48"/>
        </w:rPr>
        <w:t xml:space="preserve">投标文件</w:t>
      </w:r>
      <w:r/>
    </w:p>
    <w:p>
      <w:pPr>
        <w:pStyle w:val="650"/>
      </w:pPr>
      <w:r/>
      <w:r/>
    </w:p>
    <w:p>
      <w:pPr>
        <w:ind w:firstLine="2520"/>
        <w:spacing w:line="440" w:lineRule="exact"/>
        <w:rPr>
          <w:rFonts w:ascii="宋体"/>
          <w:sz w:val="28"/>
          <w:szCs w:val="28"/>
        </w:rPr>
      </w:pPr>
      <w:r>
        <w:rPr>
          <w:rFonts w:hint="eastAsia" w:ascii="宋体"/>
          <w:sz w:val="28"/>
          <w:szCs w:val="28"/>
        </w:rPr>
        <w:t xml:space="preserve">采购项目名称：</w:t>
      </w:r>
      <w:r/>
    </w:p>
    <w:p>
      <w:pPr>
        <w:ind w:firstLine="2520"/>
        <w:spacing w:line="440" w:lineRule="exact"/>
        <w:rPr>
          <w:rFonts w:ascii="宋体" w:cs="宋体"/>
          <w:sz w:val="28"/>
          <w:szCs w:val="28"/>
          <w:u w:val="single"/>
        </w:rPr>
      </w:pPr>
      <w:r>
        <w:rPr>
          <w:rFonts w:hint="eastAsia" w:ascii="宋体"/>
          <w:sz w:val="28"/>
          <w:szCs w:val="28"/>
        </w:rPr>
        <w:t xml:space="preserve">采购项目编号：</w:t>
      </w:r>
      <w:r/>
    </w:p>
    <w:p>
      <w:pPr>
        <w:ind w:firstLine="1260"/>
        <w:spacing w:line="360" w:lineRule="exact"/>
        <w:rPr>
          <w:rFonts w:ascii="宋体"/>
          <w:sz w:val="28"/>
          <w:szCs w:val="28"/>
        </w:rPr>
      </w:pPr>
      <w:r>
        <w:rPr>
          <w:rFonts w:ascii="宋体"/>
          <w:sz w:val="28"/>
          <w:szCs w:val="28"/>
        </w:rPr>
      </w:r>
      <w:r/>
    </w:p>
    <w:p>
      <w:pPr>
        <w:ind w:firstLine="560"/>
        <w:spacing w:line="360" w:lineRule="exact"/>
        <w:rPr>
          <w:rFonts w:ascii="宋体"/>
          <w:sz w:val="28"/>
          <w:szCs w:val="28"/>
        </w:rPr>
      </w:pPr>
      <w:r>
        <w:rPr>
          <w:rFonts w:ascii="宋体"/>
          <w:sz w:val="28"/>
          <w:szCs w:val="28"/>
        </w:rPr>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投标人名称：</w:t>
      </w:r>
      <w:r>
        <w:rPr>
          <w:rFonts w:ascii="宋体"/>
          <w:sz w:val="28"/>
          <w:szCs w:val="28"/>
          <w:u w:val="single"/>
        </w:rPr>
        <w:t xml:space="preserve">  </w:t>
      </w:r>
      <w:r>
        <w:rPr>
          <w:rFonts w:hint="eastAsia" w:ascii="宋体"/>
          <w:sz w:val="28"/>
          <w:szCs w:val="28"/>
          <w:u w:val="single"/>
        </w:rPr>
        <w:t xml:space="preserve">（盖法人章）</w:t>
      </w:r>
      <w:r>
        <w:rPr>
          <w:rFonts w:ascii="宋体"/>
          <w:sz w:val="28"/>
          <w:szCs w:val="28"/>
          <w:u w:val="single"/>
        </w:rPr>
        <w:t xml:space="preserve">     </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联系人：</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联系电话：</w:t>
      </w:r>
      <w:r/>
    </w:p>
    <w:p>
      <w:pPr>
        <w:ind w:firstLine="2520"/>
        <w:spacing w:line="400" w:lineRule="exact"/>
        <w:rPr>
          <w:rFonts w:ascii="宋体"/>
          <w:sz w:val="28"/>
          <w:szCs w:val="28"/>
        </w:rPr>
      </w:pPr>
      <w:r>
        <w:rPr>
          <w:rFonts w:hint="eastAsia" w:ascii="宋体"/>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r/>
    </w:p>
    <w:p>
      <w:pPr>
        <w:ind w:firstLine="2520"/>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2</w:t>
      </w:r>
      <w:r>
        <w:rPr>
          <w:rFonts w:ascii="楷体" w:hAnsi="楷体" w:eastAsia="楷体"/>
          <w:b/>
          <w:sz w:val="28"/>
          <w:szCs w:val="28"/>
        </w:rPr>
        <w:t xml:space="preserve"> </w:t>
      </w:r>
      <w:r>
        <w:rPr>
          <w:rFonts w:hint="eastAsia" w:ascii="楷体" w:hAnsi="楷体" w:eastAsia="楷体" w:cs="宋体"/>
          <w:b/>
          <w:sz w:val="28"/>
          <w:szCs w:val="28"/>
        </w:rPr>
        <w:t xml:space="preserve">开标一览表</w:t>
      </w:r>
      <w:bookmarkEnd w:id="517"/>
      <w:r/>
      <w:r/>
    </w:p>
    <w:p>
      <w:pPr>
        <w:rPr>
          <w:b/>
          <w:sz w:val="32"/>
          <w:szCs w:val="32"/>
        </w:rPr>
      </w:pPr>
      <w:r/>
      <w:bookmarkStart w:id="533" w:name="_Toc426469938"/>
      <w:r>
        <w:rPr>
          <w:rFonts w:hint="eastAsia"/>
        </w:rPr>
        <w:t xml:space="preserve">                </w:t>
      </w:r>
      <w:r/>
    </w:p>
    <w:p>
      <w:pPr>
        <w:jc w:val="center"/>
        <w:rPr>
          <w:b/>
          <w:sz w:val="32"/>
          <w:szCs w:val="32"/>
        </w:rPr>
      </w:pPr>
      <w:r>
        <w:rPr>
          <w:rFonts w:hint="eastAsia" w:ascii="宋体" w:hAnsi="宋体" w:cs="宋体"/>
        </w:rPr>
        <w:t xml:space="preserve">   </w:t>
      </w:r>
      <w:r>
        <w:rPr>
          <w:rFonts w:hint="eastAsia"/>
          <w:b/>
          <w:sz w:val="32"/>
          <w:szCs w:val="32"/>
        </w:rPr>
        <w:t xml:space="preserve">开标一览表</w:t>
      </w:r>
      <w:r/>
    </w:p>
    <w:p>
      <w:pPr>
        <w:rPr>
          <w:rFonts w:ascii="楷体" w:hAnsi="楷体" w:eastAsia="楷体"/>
          <w:sz w:val="28"/>
          <w:szCs w:val="28"/>
        </w:rPr>
      </w:pPr>
      <w:r>
        <w:rPr>
          <w:rFonts w:hint="eastAsia" w:ascii="宋体"/>
          <w:sz w:val="28"/>
          <w:szCs w:val="28"/>
        </w:rPr>
        <w:t xml:space="preserve">按“江苏省政府采购管理交易系统（苏采云）”中格式填写。</w:t>
      </w:r>
      <w:r>
        <w:br w:type="page" w:clear="all"/>
      </w:r>
      <w:r>
        <w:rPr>
          <w:rFonts w:ascii="楷体" w:hAnsi="楷体" w:eastAsia="楷体" w:cs="宋体"/>
          <w:b/>
          <w:sz w:val="28"/>
          <w:szCs w:val="28"/>
        </w:rPr>
        <w:t xml:space="preserve">3.</w:t>
      </w:r>
      <w:r>
        <w:rPr>
          <w:rFonts w:hint="eastAsia" w:ascii="楷体" w:hAnsi="楷体" w:eastAsia="楷体" w:cs="宋体"/>
          <w:b/>
          <w:sz w:val="28"/>
          <w:szCs w:val="28"/>
        </w:rPr>
        <w:t xml:space="preserve">3</w:t>
      </w:r>
      <w:r>
        <w:rPr>
          <w:rFonts w:ascii="楷体" w:hAnsi="楷体" w:eastAsia="楷体" w:cs="宋体"/>
          <w:b/>
          <w:sz w:val="28"/>
          <w:szCs w:val="28"/>
        </w:rPr>
        <w:t xml:space="preserve"> </w:t>
      </w:r>
      <w:r>
        <w:rPr>
          <w:rFonts w:hint="eastAsia" w:ascii="楷体" w:hAnsi="楷体" w:eastAsia="楷体" w:cs="宋体"/>
          <w:b/>
          <w:sz w:val="28"/>
          <w:szCs w:val="28"/>
        </w:rPr>
        <w:t xml:space="preserve">投标函</w:t>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r/>
    </w:p>
    <w:p>
      <w:pPr>
        <w:jc w:val="center"/>
        <w:rPr>
          <w:sz w:val="44"/>
          <w:szCs w:val="44"/>
        </w:rPr>
      </w:pPr>
      <w:r/>
      <w:bookmarkStart w:id="534" w:name="_Toc367785041"/>
      <w:r>
        <w:rPr>
          <w:rFonts w:hint="eastAsia"/>
          <w:sz w:val="44"/>
          <w:szCs w:val="44"/>
        </w:rPr>
        <w:t xml:space="preserve">投</w:t>
      </w:r>
      <w:r>
        <w:rPr>
          <w:rFonts w:eastAsia="Times New Roman"/>
          <w:sz w:val="44"/>
          <w:szCs w:val="44"/>
        </w:rPr>
        <w:t xml:space="preserve"> </w:t>
      </w:r>
      <w:r>
        <w:rPr>
          <w:rFonts w:hint="eastAsia" w:ascii="宋体" w:hAnsi="宋体" w:cs="宋体"/>
          <w:sz w:val="44"/>
          <w:szCs w:val="44"/>
        </w:rPr>
        <w:t xml:space="preserve">标</w:t>
      </w:r>
      <w:r>
        <w:rPr>
          <w:rFonts w:eastAsia="Times New Roman"/>
          <w:sz w:val="44"/>
          <w:szCs w:val="44"/>
        </w:rPr>
        <w:t xml:space="preserve"> </w:t>
      </w:r>
      <w:r>
        <w:rPr>
          <w:rFonts w:hint="eastAsia" w:ascii="宋体" w:hAnsi="宋体" w:cs="宋体"/>
          <w:sz w:val="44"/>
          <w:szCs w:val="44"/>
        </w:rPr>
        <w:t xml:space="preserve">函</w:t>
      </w:r>
      <w:bookmarkEnd w:id="534"/>
      <w:r/>
      <w:r/>
    </w:p>
    <w:p>
      <w:pPr>
        <w:rPr>
          <w:rFonts w:ascii="Arial" w:hAnsi="Arial"/>
          <w:sz w:val="28"/>
          <w:szCs w:val="28"/>
        </w:rPr>
      </w:pPr>
      <w:r>
        <w:rPr>
          <w:rFonts w:hint="eastAsia" w:ascii="Arial" w:hAnsi="Arial"/>
          <w:sz w:val="28"/>
          <w:szCs w:val="28"/>
        </w:rPr>
        <w:t xml:space="preserve">致：</w:t>
      </w:r>
      <w:r>
        <w:rPr>
          <w:rFonts w:hint="eastAsia" w:ascii="宋体" w:hAnsi="宋体" w:eastAsia="宋体" w:cs="宋体"/>
          <w:sz w:val="28"/>
          <w:szCs w:val="28"/>
          <w:u w:val="single"/>
        </w:rPr>
        <w:t xml:space="preserve">(</w:t>
      </w:r>
      <w:r>
        <w:rPr>
          <w:rFonts w:hint="eastAsia" w:ascii="Arial" w:hAnsi="Arial"/>
          <w:sz w:val="28"/>
          <w:szCs w:val="28"/>
          <w:u w:val="single"/>
        </w:rPr>
        <w:t xml:space="preserve">采购人名称</w:t>
      </w:r>
      <w:r>
        <w:rPr>
          <w:rFonts w:hint="eastAsia" w:ascii="宋体" w:hAnsi="宋体" w:eastAsia="宋体" w:cs="宋体"/>
          <w:sz w:val="28"/>
          <w:szCs w:val="28"/>
          <w:u w:val="single"/>
        </w:rPr>
        <w:t xml:space="preserve">)</w:t>
      </w:r>
      <w:r>
        <w:rPr>
          <w:rFonts w:hint="eastAsia" w:ascii="Arial" w:hAnsi="Arial"/>
          <w:sz w:val="28"/>
          <w:szCs w:val="28"/>
        </w:rPr>
        <w:t xml:space="preserve">：</w:t>
      </w:r>
      <w:r/>
    </w:p>
    <w:p>
      <w:pPr>
        <w:ind w:firstLine="560"/>
        <w:spacing w:line="520" w:lineRule="exact"/>
        <w:rPr>
          <w:rFonts w:ascii="Arial" w:hAnsi="Arial"/>
          <w:sz w:val="28"/>
          <w:szCs w:val="28"/>
        </w:rPr>
      </w:pPr>
      <w:r>
        <w:rPr>
          <w:rFonts w:hint="eastAsia" w:ascii="Arial" w:hAnsi="Arial"/>
          <w:sz w:val="28"/>
          <w:szCs w:val="28"/>
        </w:rPr>
        <w:t xml:space="preserve">根据</w:t>
      </w:r>
      <w:r>
        <w:rPr>
          <w:rFonts w:hint="eastAsia" w:ascii="宋体" w:hAnsi="宋体" w:eastAsia="宋体" w:cs="宋体"/>
          <w:sz w:val="28"/>
          <w:szCs w:val="28"/>
          <w:u w:val="single"/>
        </w:rPr>
        <w:t xml:space="preserve">   （项目名称）    </w:t>
      </w:r>
      <w:r>
        <w:rPr>
          <w:rFonts w:hint="eastAsia" w:ascii="Arial" w:hAnsi="Arial"/>
          <w:sz w:val="28"/>
          <w:szCs w:val="28"/>
        </w:rPr>
        <w:t xml:space="preserve">招标文件的所有条款要求，遵照《中华人民共和国政府采购法》、《中华人民共和国政府采购法实施条例》等有关规定，我方承诺如下：</w:t>
      </w:r>
      <w:r/>
    </w:p>
    <w:p>
      <w:pPr>
        <w:ind w:firstLine="560"/>
        <w:spacing w:line="520" w:lineRule="exact"/>
        <w:rPr>
          <w:rFonts w:ascii="Arial" w:hAnsi="Arial"/>
          <w:sz w:val="28"/>
          <w:szCs w:val="28"/>
        </w:rPr>
      </w:pPr>
      <w:r>
        <w:rPr>
          <w:rFonts w:ascii="Arial" w:hAnsi="Arial"/>
          <w:sz w:val="28"/>
          <w:szCs w:val="28"/>
        </w:rPr>
        <w:t xml:space="preserve">1</w:t>
      </w:r>
      <w:r>
        <w:rPr>
          <w:rFonts w:hint="eastAsia" w:ascii="Arial" w:hAnsi="Arial"/>
          <w:sz w:val="28"/>
          <w:szCs w:val="28"/>
        </w:rPr>
        <w:t xml:space="preserve">、投标价格为（大写）</w:t>
      </w:r>
      <w:r>
        <w:rPr>
          <w:rFonts w:hint="eastAsia" w:ascii="宋体" w:hAnsi="宋体" w:eastAsia="宋体" w:cs="宋体"/>
          <w:sz w:val="28"/>
          <w:szCs w:val="28"/>
        </w:rPr>
        <w:t xml:space="preserve">：</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rPr>
          <w:rFonts w:hint="eastAsia" w:ascii="Arial" w:hAnsi="Arial"/>
          <w:sz w:val="28"/>
          <w:szCs w:val="28"/>
        </w:rPr>
        <w:t xml:space="preserve">如我方中标，投标总价即为合同价，在履行合同约定的责任和义务的过程中不再要求调增。</w:t>
      </w:r>
      <w:r/>
    </w:p>
    <w:p>
      <w:pPr>
        <w:ind w:firstLine="560"/>
        <w:spacing w:line="520" w:lineRule="exact"/>
        <w:rPr>
          <w:rFonts w:ascii="Arial" w:hAnsi="Arial"/>
          <w:sz w:val="28"/>
          <w:szCs w:val="28"/>
        </w:rPr>
      </w:pPr>
      <w:r>
        <w:rPr>
          <w:rFonts w:hint="eastAsia" w:ascii="Arial" w:hAnsi="Arial"/>
          <w:sz w:val="28"/>
          <w:szCs w:val="28"/>
        </w:rPr>
        <w:t xml:space="preserve">2、合同履行期限（工期）：</w:t>
      </w:r>
      <w:r>
        <w:rPr>
          <w:rFonts w:hint="eastAsia" w:ascii="宋体" w:hAnsi="宋体" w:eastAsia="宋体" w:cs="宋体"/>
          <w:sz w:val="28"/>
          <w:szCs w:val="28"/>
          <w:u w:val="single"/>
        </w:rPr>
        <w:t xml:space="preserve">              </w:t>
      </w:r>
      <w:r>
        <w:rPr>
          <w:rFonts w:hint="eastAsia" w:ascii="Arial" w:hAnsi="Arial"/>
          <w:sz w:val="28"/>
          <w:szCs w:val="28"/>
        </w:rPr>
        <w:t xml:space="preserve">。</w:t>
      </w:r>
      <w:r>
        <w:rPr>
          <w:rFonts w:ascii="Arial" w:hAnsi="Arial"/>
          <w:sz w:val="28"/>
          <w:szCs w:val="28"/>
        </w:rPr>
        <w:t xml:space="preserve"> </w:t>
      </w:r>
      <w:r/>
    </w:p>
    <w:p>
      <w:pPr>
        <w:ind w:firstLine="560"/>
        <w:spacing w:line="520" w:lineRule="exact"/>
        <w:rPr>
          <w:rFonts w:ascii="Arial" w:hAnsi="Arial"/>
          <w:sz w:val="28"/>
          <w:szCs w:val="28"/>
        </w:rPr>
      </w:pPr>
      <w:r>
        <w:rPr>
          <w:rFonts w:hint="eastAsia" w:ascii="Arial" w:hAnsi="Arial"/>
          <w:sz w:val="28"/>
          <w:szCs w:val="28"/>
        </w:rPr>
        <w:t xml:space="preserve">3、投标有效期：</w:t>
      </w:r>
      <w:r>
        <w:rPr>
          <w:rFonts w:hint="eastAsia" w:ascii="宋体" w:hAnsi="宋体" w:eastAsia="宋体" w:cs="宋体"/>
          <w:sz w:val="28"/>
          <w:szCs w:val="28"/>
          <w:u w:val="single"/>
        </w:rPr>
        <w:t xml:space="preserve"> 60天 </w:t>
      </w:r>
      <w:r>
        <w:rPr>
          <w:rFonts w:hint="eastAsia" w:ascii="Arial" w:hAnsi="Arial"/>
          <w:sz w:val="28"/>
          <w:szCs w:val="28"/>
        </w:rPr>
        <w:t xml:space="preserve">。在投标有效期内我方同意遵守本投标文件中的承诺且在此期限期满之前投标文件对我方具有法律约束力。</w:t>
      </w:r>
      <w:r/>
    </w:p>
    <w:p>
      <w:pPr>
        <w:ind w:firstLine="560"/>
        <w:spacing w:line="520" w:lineRule="exact"/>
        <w:rPr>
          <w:rFonts w:ascii="Arial" w:hAnsi="Arial"/>
          <w:sz w:val="28"/>
          <w:szCs w:val="28"/>
        </w:rPr>
      </w:pPr>
      <w:r>
        <w:rPr>
          <w:rFonts w:hint="eastAsia" w:ascii="Arial" w:hAnsi="Arial"/>
          <w:sz w:val="28"/>
          <w:szCs w:val="28"/>
        </w:rPr>
        <w:t xml:space="preserve">4、我方已详细审查全部招标文件。我们完全理解并同意放弃对这方面有不明及误解的权力。</w:t>
      </w:r>
      <w:r/>
    </w:p>
    <w:p>
      <w:pPr>
        <w:ind w:firstLine="560"/>
        <w:spacing w:line="520" w:lineRule="exact"/>
        <w:rPr>
          <w:rFonts w:ascii="Arial" w:hAnsi="Arial"/>
          <w:sz w:val="28"/>
          <w:szCs w:val="28"/>
        </w:rPr>
      </w:pPr>
      <w:r>
        <w:rPr>
          <w:rFonts w:hint="eastAsia" w:ascii="Arial" w:hAnsi="Arial"/>
          <w:sz w:val="28"/>
          <w:szCs w:val="28"/>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pStyle w:val="650"/>
      </w:pPr>
      <w:r/>
      <w:r/>
    </w:p>
    <w:p>
      <w:pPr>
        <w:ind w:right="560" w:firstLine="3080"/>
        <w:spacing w:line="520" w:lineRule="exact"/>
        <w:rPr>
          <w:rFonts w:ascii="Arial" w:hAnsi="Arial"/>
          <w:sz w:val="28"/>
          <w:szCs w:val="28"/>
        </w:rPr>
      </w:pPr>
      <w:r>
        <w:rPr>
          <w:rFonts w:hint="eastAsia" w:ascii="Arial" w:hAnsi="Arial"/>
          <w:sz w:val="28"/>
          <w:szCs w:val="28"/>
        </w:rPr>
        <w:t xml:space="preserve">投标人名称(盖法人章)：</w:t>
      </w:r>
      <w:r/>
    </w:p>
    <w:p>
      <w:pPr>
        <w:ind w:firstLine="3080"/>
        <w:spacing w:line="520" w:lineRule="exact"/>
        <w:rPr>
          <w:rFonts w:ascii="Arial" w:hAnsi="Arial"/>
          <w:sz w:val="28"/>
          <w:szCs w:val="28"/>
        </w:rPr>
      </w:pPr>
      <w:r>
        <w:rPr>
          <w:rFonts w:hint="eastAsia" w:ascii="Arial" w:hAnsi="Arial"/>
          <w:sz w:val="28"/>
          <w:szCs w:val="28"/>
        </w:rPr>
        <w:t xml:space="preserve">法定代表人 (签字或签章)：</w:t>
      </w:r>
      <w:r/>
    </w:p>
    <w:p>
      <w:pPr>
        <w:ind w:firstLine="3080"/>
        <w:spacing w:line="520" w:lineRule="exact"/>
        <w:rPr>
          <w:rFonts w:ascii="Arial" w:hAnsi="Arial"/>
          <w:sz w:val="28"/>
          <w:szCs w:val="28"/>
        </w:rPr>
      </w:pPr>
      <w:r>
        <w:rPr>
          <w:rFonts w:hint="eastAsia" w:ascii="Arial" w:hAnsi="Arial"/>
          <w:sz w:val="28"/>
          <w:szCs w:val="28"/>
        </w:rPr>
        <w:t xml:space="preserve">日期：   年  月   日</w:t>
      </w:r>
      <w:r/>
    </w:p>
    <w:p>
      <w:pPr>
        <w:jc w:val="left"/>
        <w:spacing w:line="500" w:lineRule="exact"/>
        <w:widowControl/>
        <w:rPr>
          <w:rFonts w:ascii="楷体" w:hAnsi="楷体" w:eastAsia="楷体" w:cs="宋体"/>
          <w:b/>
          <w:sz w:val="32"/>
          <w:szCs w:val="32"/>
        </w:rPr>
      </w:pPr>
      <w:r>
        <w:rPr>
          <w:rFonts w:ascii="Arial" w:hAnsi="Arial"/>
          <w:sz w:val="28"/>
          <w:szCs w:val="28"/>
        </w:rPr>
        <w:br w:type="page" w:clear="all"/>
      </w:r>
      <w:r>
        <w:rPr>
          <w:rFonts w:hint="eastAsia" w:ascii="楷体" w:hAnsi="楷体" w:eastAsia="楷体" w:cs="宋体"/>
          <w:b/>
          <w:sz w:val="32"/>
          <w:szCs w:val="32"/>
        </w:rPr>
        <w:t xml:space="preserve">3.4供应商资格条件证明文件</w:t>
      </w:r>
      <w:r/>
    </w:p>
    <w:p>
      <w:pPr>
        <w:pStyle w:val="648"/>
        <w:spacing w:line="500" w:lineRule="exact"/>
        <w:rPr>
          <w:rFonts w:ascii="Arial" w:hAnsi="Arial" w:eastAsia="Arial" w:cs="宋体"/>
          <w:b/>
          <w:sz w:val="28"/>
          <w:szCs w:val="28"/>
        </w:rPr>
      </w:pPr>
      <w:r>
        <w:rPr>
          <w:rFonts w:hint="eastAsia" w:ascii="Arial" w:hAnsi="Arial" w:eastAsia="Arial" w:cs="宋体"/>
          <w:b/>
          <w:sz w:val="28"/>
          <w:szCs w:val="28"/>
        </w:rPr>
        <w:t xml:space="preserve">（1）供应商基本资格条件承诺函</w:t>
      </w:r>
      <w:r/>
    </w:p>
    <w:p>
      <w:pPr>
        <w:pStyle w:val="648"/>
        <w:jc w:val="center"/>
        <w:spacing w:line="480" w:lineRule="exact"/>
        <w:rPr>
          <w:rFonts w:ascii="Arial" w:hAnsi="Arial" w:eastAsia="Arial" w:cs="宋体"/>
          <w:b/>
          <w:sz w:val="28"/>
          <w:szCs w:val="28"/>
        </w:rPr>
      </w:pPr>
      <w:r>
        <w:rPr>
          <w:rFonts w:hint="eastAsia" w:ascii="Arial" w:hAnsi="Arial" w:eastAsia="Arial" w:cs="宋体"/>
          <w:b/>
          <w:sz w:val="28"/>
          <w:szCs w:val="28"/>
        </w:rPr>
        <w:t xml:space="preserve">供应商基本资格条件承诺函</w:t>
      </w:r>
      <w:r/>
    </w:p>
    <w:p>
      <w:pPr>
        <w:ind w:firstLine="560"/>
        <w:spacing w:line="480" w:lineRule="exact"/>
        <w:rPr>
          <w:rFonts w:ascii="Arial" w:hAnsi="Arial" w:eastAsia="Arial" w:cs="宋体"/>
          <w:sz w:val="28"/>
          <w:szCs w:val="28"/>
        </w:rPr>
      </w:pPr>
      <w:r>
        <w:rPr>
          <w:rFonts w:hint="eastAsia" w:ascii="Arial" w:hAnsi="Arial" w:eastAsia="Arial" w:cs="宋体"/>
          <w:sz w:val="28"/>
          <w:szCs w:val="28"/>
        </w:rPr>
        <w:t xml:space="preserve">一、按照《政府采购法》第二十二条规定的供应商基本资格条件，我公司郑重承诺如下：</w:t>
      </w:r>
      <w:r/>
    </w:p>
    <w:p>
      <w:pPr>
        <w:pStyle w:val="648"/>
        <w:ind w:firstLine="560"/>
        <w:spacing w:line="480" w:lineRule="exact"/>
        <w:rPr>
          <w:rFonts w:ascii="Arial" w:hAnsi="Arial" w:eastAsia="Arial"/>
          <w:sz w:val="28"/>
          <w:szCs w:val="28"/>
          <w:shd w:val="clear" w:color="auto" w:fill="ffffff"/>
        </w:rPr>
      </w:pPr>
      <w:r>
        <w:rPr>
          <w:rFonts w:hint="eastAsia" w:ascii="Arial" w:hAnsi="Arial" w:eastAsia="Arial"/>
          <w:sz w:val="28"/>
          <w:szCs w:val="28"/>
        </w:rPr>
        <w:t xml:space="preserve">1.我公司具有</w:t>
      </w:r>
      <w:r>
        <w:rPr>
          <w:rFonts w:hint="eastAsia" w:ascii="Arial" w:hAnsi="Arial" w:eastAsia="Arial"/>
          <w:sz w:val="28"/>
          <w:szCs w:val="28"/>
          <w:shd w:val="clear" w:color="auto" w:fill="ffffff"/>
        </w:rPr>
        <w:t xml:space="preserve">良好的商业信誉和健全的财务制度；</w:t>
      </w:r>
      <w:r/>
    </w:p>
    <w:p>
      <w:pPr>
        <w:pStyle w:val="648"/>
        <w:ind w:firstLine="560"/>
        <w:spacing w:line="480" w:lineRule="exact"/>
        <w:rPr>
          <w:rFonts w:ascii="Arial" w:hAnsi="Arial" w:eastAsia="Arial"/>
          <w:sz w:val="28"/>
          <w:szCs w:val="28"/>
          <w:shd w:val="clear" w:color="auto" w:fill="ffffff"/>
        </w:rPr>
      </w:pPr>
      <w:r>
        <w:rPr>
          <w:rFonts w:hint="eastAsia" w:ascii="Arial" w:hAnsi="Arial" w:eastAsia="Arial"/>
          <w:sz w:val="28"/>
          <w:szCs w:val="28"/>
          <w:shd w:val="clear" w:color="auto" w:fill="ffffff"/>
        </w:rPr>
        <w:t xml:space="preserve">2.我公司具有履行合同所必须的设备和专业技术能力；</w:t>
      </w:r>
      <w:r/>
    </w:p>
    <w:p>
      <w:pPr>
        <w:pStyle w:val="648"/>
        <w:ind w:firstLine="560"/>
        <w:spacing w:line="480" w:lineRule="exact"/>
        <w:rPr>
          <w:rFonts w:ascii="Arial" w:hAnsi="Arial" w:eastAsia="Arial"/>
          <w:sz w:val="28"/>
          <w:szCs w:val="28"/>
          <w:shd w:val="clear" w:color="auto" w:fill="ffffff"/>
        </w:rPr>
      </w:pPr>
      <w:r>
        <w:rPr>
          <w:rFonts w:hint="eastAsia" w:ascii="Arial" w:hAnsi="Arial" w:eastAsia="Arial"/>
          <w:sz w:val="28"/>
          <w:szCs w:val="28"/>
          <w:shd w:val="clear" w:color="auto" w:fill="ffffff"/>
        </w:rPr>
        <w:t xml:space="preserve">3.我公司具有依法缴纳税收和社会保障资金的良好记录；</w:t>
      </w:r>
      <w:r/>
    </w:p>
    <w:p>
      <w:pPr>
        <w:pStyle w:val="648"/>
        <w:ind w:firstLine="560"/>
        <w:spacing w:line="480" w:lineRule="exact"/>
        <w:rPr>
          <w:rFonts w:ascii="Arial" w:hAnsi="Arial" w:eastAsia="Arial"/>
          <w:sz w:val="28"/>
          <w:szCs w:val="28"/>
          <w:shd w:val="clear" w:color="auto" w:fill="ffffff"/>
        </w:rPr>
      </w:pPr>
      <w:r>
        <w:rPr>
          <w:rFonts w:hint="eastAsia" w:ascii="Arial" w:hAnsi="Arial" w:eastAsia="Arial"/>
          <w:sz w:val="28"/>
          <w:szCs w:val="28"/>
          <w:shd w:val="clear" w:color="auto" w:fill="ffffff"/>
        </w:rPr>
        <w:t xml:space="preserve">4.我公司参加政府采购活动前三年内，在经营活动中没有重大违法记录；</w:t>
      </w:r>
      <w:r/>
    </w:p>
    <w:p>
      <w:pPr>
        <w:pStyle w:val="648"/>
        <w:ind w:firstLine="560"/>
        <w:spacing w:line="480" w:lineRule="exact"/>
        <w:rPr>
          <w:rFonts w:ascii="Arial" w:hAnsi="Arial" w:eastAsia="Arial"/>
          <w:sz w:val="28"/>
          <w:szCs w:val="28"/>
          <w:shd w:val="clear" w:color="auto" w:fill="ffffff"/>
        </w:rPr>
      </w:pPr>
      <w:r>
        <w:rPr>
          <w:rFonts w:hint="eastAsia" w:ascii="Arial" w:hAnsi="Arial" w:eastAsia="Arial"/>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Arial" w:hAnsi="Arial" w:eastAsia="Arial"/>
          <w:sz w:val="28"/>
          <w:szCs w:val="28"/>
        </w:rPr>
        <w:t xml:space="preserve">。</w:t>
      </w:r>
      <w:r/>
    </w:p>
    <w:p>
      <w:pPr>
        <w:pStyle w:val="648"/>
        <w:ind w:firstLine="560"/>
        <w:spacing w:line="480" w:lineRule="exact"/>
        <w:rPr>
          <w:rFonts w:ascii="Arial" w:hAnsi="Arial" w:eastAsia="Arial"/>
          <w:sz w:val="28"/>
          <w:szCs w:val="28"/>
        </w:rPr>
      </w:pPr>
      <w:r>
        <w:rPr>
          <w:rFonts w:hint="eastAsia" w:ascii="Arial" w:hAnsi="Arial" w:eastAsia="Arial"/>
          <w:sz w:val="28"/>
          <w:szCs w:val="28"/>
          <w:shd w:val="clear" w:color="auto" w:fill="ffffff"/>
        </w:rPr>
        <w:t xml:space="preserve">二、</w:t>
      </w:r>
      <w:r>
        <w:rPr>
          <w:rFonts w:hint="eastAsia" w:ascii="Arial" w:hAnsi="Arial" w:eastAsia="Arial"/>
          <w:sz w:val="28"/>
          <w:szCs w:val="28"/>
        </w:rPr>
        <w:t xml:space="preserve">我公司承诺：在本次投标过程中，我公司不存在本项目招标文件第二章第1.4.3条所列情形之一。</w:t>
      </w:r>
      <w:r/>
    </w:p>
    <w:p>
      <w:pPr>
        <w:ind w:firstLine="3920"/>
        <w:spacing w:before="156" w:line="480" w:lineRule="exact"/>
        <w:rPr>
          <w:rFonts w:ascii="Arial" w:hAnsi="Arial" w:eastAsia="Arial"/>
          <w:sz w:val="28"/>
          <w:szCs w:val="28"/>
        </w:rPr>
      </w:pPr>
      <w:r>
        <w:rPr>
          <w:rFonts w:ascii="Arial" w:hAnsi="Arial" w:eastAsia="Arial"/>
          <w:sz w:val="28"/>
          <w:szCs w:val="28"/>
        </w:rPr>
        <w:t xml:space="preserve">投标人名称(盖法人章)：</w:t>
      </w:r>
      <w:r/>
    </w:p>
    <w:p>
      <w:pPr>
        <w:ind w:firstLine="3920"/>
        <w:spacing w:before="156" w:line="480" w:lineRule="exact"/>
        <w:rPr>
          <w:rFonts w:ascii="Arial" w:hAnsi="Arial" w:eastAsia="Arial"/>
          <w:sz w:val="28"/>
          <w:szCs w:val="28"/>
          <w:u w:val="single"/>
        </w:rPr>
      </w:pPr>
      <w:r>
        <w:rPr>
          <w:rFonts w:hint="eastAsia" w:ascii="Arial" w:hAnsi="Arial" w:eastAsia="Arial"/>
          <w:sz w:val="28"/>
          <w:szCs w:val="28"/>
        </w:rPr>
        <w:t xml:space="preserve">法定代表人</w:t>
      </w:r>
      <w:r>
        <w:rPr>
          <w:rFonts w:ascii="Arial" w:hAnsi="Arial" w:eastAsia="Arial"/>
          <w:sz w:val="28"/>
          <w:szCs w:val="28"/>
        </w:rPr>
        <w:t xml:space="preserve"> (</w:t>
      </w:r>
      <w:r>
        <w:rPr>
          <w:rFonts w:hint="eastAsia" w:ascii="Arial" w:hAnsi="Arial" w:eastAsia="Arial"/>
          <w:sz w:val="28"/>
          <w:szCs w:val="28"/>
        </w:rPr>
        <w:t xml:space="preserve">签字或签章</w:t>
      </w:r>
      <w:r>
        <w:rPr>
          <w:rFonts w:ascii="Arial" w:hAnsi="Arial" w:eastAsia="Arial"/>
          <w:sz w:val="28"/>
          <w:szCs w:val="28"/>
        </w:rPr>
        <w:t xml:space="preserve">)</w:t>
      </w:r>
      <w:r>
        <w:rPr>
          <w:rFonts w:hint="eastAsia" w:ascii="Arial" w:hAnsi="Arial" w:eastAsia="Arial"/>
          <w:sz w:val="28"/>
          <w:szCs w:val="28"/>
        </w:rPr>
        <w:t xml:space="preserve">：</w:t>
      </w:r>
      <w:r/>
    </w:p>
    <w:p>
      <w:pPr>
        <w:ind w:firstLine="3920"/>
        <w:spacing w:before="156" w:line="480" w:lineRule="exact"/>
        <w:rPr>
          <w:rFonts w:ascii="Arial" w:hAnsi="Arial" w:eastAsia="Arial"/>
          <w:sz w:val="28"/>
          <w:szCs w:val="28"/>
        </w:rPr>
      </w:pPr>
      <w:r>
        <w:rPr>
          <w:rFonts w:hint="eastAsia" w:ascii="Arial" w:hAnsi="Arial" w:eastAsia="Arial"/>
          <w:sz w:val="28"/>
          <w:szCs w:val="28"/>
        </w:rPr>
        <w:t xml:space="preserve">日期：   年  月   日</w:t>
      </w:r>
      <w:r/>
    </w:p>
    <w:p>
      <w:pPr>
        <w:pStyle w:val="648"/>
        <w:spacing w:line="500" w:lineRule="exact"/>
        <w:rPr>
          <w:rFonts w:ascii="Arial" w:hAnsi="Arial" w:eastAsia="Arial"/>
          <w:b/>
          <w:sz w:val="28"/>
          <w:szCs w:val="28"/>
        </w:rPr>
      </w:pPr>
      <w:r>
        <w:rPr>
          <w:rFonts w:ascii="Arial" w:hAnsi="Arial" w:eastAsia="Arial"/>
          <w:b/>
          <w:sz w:val="28"/>
          <w:szCs w:val="28"/>
        </w:rPr>
      </w:r>
      <w:r/>
    </w:p>
    <w:p>
      <w:pPr>
        <w:pStyle w:val="648"/>
        <w:spacing w:line="500" w:lineRule="exact"/>
        <w:rPr>
          <w:rFonts w:ascii="Arial" w:hAnsi="Arial" w:eastAsia="Arial"/>
          <w:b/>
          <w:sz w:val="28"/>
          <w:szCs w:val="28"/>
        </w:rPr>
      </w:pPr>
      <w:r>
        <w:rPr>
          <w:rFonts w:hint="eastAsia" w:ascii="Arial" w:hAnsi="Arial" w:eastAsia="Arial"/>
          <w:b/>
          <w:sz w:val="28"/>
          <w:szCs w:val="28"/>
        </w:rPr>
        <w:t xml:space="preserve">（2）</w:t>
      </w:r>
      <w:r>
        <w:rPr>
          <w:rFonts w:hint="eastAsia" w:ascii="Arial" w:hAnsi="Arial" w:eastAsia="Arial" w:cs="宋体"/>
          <w:b/>
          <w:sz w:val="28"/>
          <w:szCs w:val="28"/>
        </w:rPr>
        <w:t xml:space="preserve">招标文件要求的其他资格条件及证明材料</w:t>
      </w:r>
      <w:r/>
    </w:p>
    <w:p>
      <w:pPr>
        <w:pStyle w:val="648"/>
        <w:ind w:firstLine="560"/>
        <w:spacing w:line="500" w:lineRule="exact"/>
        <w:rPr>
          <w:rFonts w:ascii="Arial" w:hAnsi="Arial" w:eastAsia="Arial" w:cs="宋体"/>
          <w:sz w:val="28"/>
          <w:szCs w:val="28"/>
        </w:rPr>
      </w:pPr>
      <w:r>
        <w:rPr>
          <w:rFonts w:hint="eastAsia" w:ascii="Arial" w:hAnsi="Arial" w:eastAsia="Arial" w:cs="宋体"/>
          <w:sz w:val="28"/>
          <w:szCs w:val="28"/>
        </w:rPr>
        <w:t xml:space="preserve">1.具有有效的营业执照（附证书的复印件）；</w:t>
      </w:r>
      <w:r/>
    </w:p>
    <w:p>
      <w:pPr>
        <w:pStyle w:val="648"/>
        <w:ind w:firstLine="560"/>
        <w:spacing w:line="500" w:lineRule="exact"/>
        <w:rPr>
          <w:rFonts w:hint="eastAsia" w:ascii="Arial" w:hAnsi="Arial" w:eastAsia="Arial" w:cs="宋体"/>
          <w:sz w:val="28"/>
          <w:szCs w:val="28"/>
        </w:rPr>
      </w:pPr>
      <w:r>
        <w:rPr>
          <w:rFonts w:hint="eastAsia" w:ascii="Arial" w:hAnsi="Arial" w:eastAsia="Arial" w:cs="宋体"/>
          <w:sz w:val="28"/>
          <w:szCs w:val="28"/>
        </w:rPr>
        <w:t xml:space="preserve">2.中小企业声明函（参考格式附后）；</w:t>
      </w:r>
      <w:r/>
    </w:p>
    <w:p>
      <w:pPr>
        <w:ind w:firstLine="560"/>
        <w:keepLines w:val="0"/>
        <w:keepNext w:val="0"/>
        <w:pageBreakBefore w:val="0"/>
        <w:spacing w:line="440" w:lineRule="exact"/>
        <w:widowControl w:val="off"/>
        <w:rPr>
          <w:rFonts w:hint="eastAsia" w:ascii="宋体" w:hAnsi="宋体" w:eastAsia="宋体" w:cs="宋体"/>
          <w:sz w:val="28"/>
          <w:szCs w:val="28"/>
          <w:highlight w:val="none"/>
          <w:lang w:eastAsia="zh-CN"/>
        </w:rPr>
      </w:pPr>
      <w:r>
        <w:rPr>
          <w:rFonts w:hint="eastAsia" w:ascii="Arial" w:hAnsi="Arial" w:eastAsia="Arial" w:cs="宋体"/>
          <w:sz w:val="28"/>
          <w:szCs w:val="28"/>
        </w:rPr>
        <w:t xml:space="preserve">3.特定资格要求：</w:t>
      </w:r>
      <w:r>
        <w:rPr>
          <w:rFonts w:hint="eastAsia" w:ascii="宋体" w:hAnsi="宋体" w:eastAsia="宋体" w:cs="宋体"/>
          <w:sz w:val="28"/>
          <w:szCs w:val="28"/>
        </w:rPr>
        <w:t xml:space="preserve">供应商具备有效期内城乡规划（国土空间规划）编制乙级及以上资质</w:t>
      </w:r>
      <w:r>
        <w:rPr>
          <w:rFonts w:hint="eastAsia" w:ascii="宋体" w:hAnsi="宋体" w:eastAsia="宋体" w:cs="宋体"/>
          <w:sz w:val="28"/>
          <w:szCs w:val="28"/>
          <w:lang w:eastAsia="zh-CN"/>
        </w:rPr>
        <w:t xml:space="preserve">。</w:t>
      </w:r>
      <w:r/>
    </w:p>
    <w:p>
      <w:pPr>
        <w:rPr>
          <w:rFonts w:hint="eastAsia" w:ascii="Arial" w:hAnsi="Arial" w:eastAsia="Arial" w:cs="宋体"/>
          <w:b/>
          <w:sz w:val="30"/>
          <w:szCs w:val="30"/>
        </w:rPr>
      </w:pPr>
      <w:r>
        <w:rPr>
          <w:rFonts w:hint="eastAsia" w:ascii="Arial" w:hAnsi="Arial" w:eastAsia="Arial" w:cs="宋体"/>
          <w:b/>
          <w:sz w:val="30"/>
          <w:szCs w:val="30"/>
        </w:rPr>
        <w:br w:type="page" w:clear="all"/>
      </w:r>
      <w:r/>
    </w:p>
    <w:p>
      <w:pPr>
        <w:pStyle w:val="648"/>
        <w:ind w:left="0" w:firstLine="0"/>
        <w:spacing w:line="500" w:lineRule="exact"/>
        <w:rPr>
          <w:rFonts w:ascii="Arial" w:hAnsi="Arial" w:eastAsia="Arial" w:cs="宋体"/>
          <w:sz w:val="30"/>
          <w:szCs w:val="30"/>
        </w:rPr>
      </w:pPr>
      <w:r>
        <w:rPr>
          <w:rFonts w:hint="eastAsia" w:ascii="Arial" w:hAnsi="Arial" w:eastAsia="Arial" w:cs="宋体"/>
          <w:b/>
          <w:sz w:val="30"/>
          <w:szCs w:val="30"/>
        </w:rPr>
        <w:t xml:space="preserve">附件：中小企业声明函</w:t>
      </w:r>
      <w:r/>
    </w:p>
    <w:p>
      <w:pPr>
        <w:jc w:val="center"/>
        <w:spacing w:line="440" w:lineRule="exact"/>
        <w:rPr>
          <w:rFonts w:ascii="黑体" w:eastAsia="黑体"/>
          <w:bCs/>
          <w:sz w:val="32"/>
          <w:szCs w:val="32"/>
        </w:rPr>
      </w:pPr>
      <w:r>
        <w:rPr>
          <w:rFonts w:hint="eastAsia" w:ascii="黑体" w:eastAsia="黑体"/>
          <w:bCs/>
          <w:sz w:val="32"/>
          <w:szCs w:val="32"/>
        </w:rPr>
        <w:t xml:space="preserve">中小企业声明函</w:t>
      </w:r>
      <w:r/>
    </w:p>
    <w:p>
      <w:pPr>
        <w:ind w:firstLine="570"/>
        <w:spacing w:line="440" w:lineRule="exact"/>
        <w:rPr>
          <w:rFonts w:hint="eastAsia" w:ascii="宋体" w:hAnsi="宋体" w:eastAsia="宋体" w:cs="宋体"/>
          <w:sz w:val="28"/>
          <w:szCs w:val="28"/>
        </w:rPr>
      </w:pPr>
      <w:r>
        <w:rPr>
          <w:rFonts w:hint="eastAsia" w:ascii="宋体" w:hAnsi="宋体" w:eastAsia="宋体" w:cs="宋体"/>
          <w:sz w:val="28"/>
          <w:szCs w:val="28"/>
        </w:rPr>
        <w:t xml:space="preserve">本公司（联合体）郑重声明，根据《政府采购促进中小企业发展管理办法》（财库[2020]46号）的规定，本公司（联合体）参加</w:t>
      </w:r>
      <w:r>
        <w:rPr>
          <w:rFonts w:hint="eastAsia" w:ascii="宋体" w:hAnsi="宋体" w:eastAsia="宋体" w:cs="宋体"/>
          <w:sz w:val="28"/>
          <w:szCs w:val="28"/>
          <w:u w:val="single"/>
        </w:rPr>
        <w:t xml:space="preserve"> （单位名称）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（标的名称）       </w:t>
      </w:r>
      <w:r>
        <w:rPr>
          <w:rFonts w:hint="eastAsia" w:ascii="宋体" w:hAnsi="宋体" w:eastAsia="宋体" w:cs="宋体"/>
          <w:sz w:val="28"/>
          <w:szCs w:val="28"/>
        </w:rPr>
        <w:t xml:space="preserve">采购活动，提供的货物或服务全部由符合政策要求的小微企业提供。相关企业（含联合体中的中小企业、签订分包意向协议的中小企业）的具体情况如下：</w:t>
      </w:r>
      <w:r/>
    </w:p>
    <w:p>
      <w:pPr>
        <w:ind w:firstLine="560"/>
        <w:spacing w:line="440" w:lineRule="exact"/>
        <w:rPr>
          <w:rFonts w:hint="eastAsia" w:ascii="宋体" w:hAnsi="宋体" w:eastAsia="宋体" w:cs="宋体"/>
          <w:sz w:val="28"/>
          <w:szCs w:val="28"/>
          <w:u w:val="single"/>
        </w:rPr>
      </w:pPr>
      <w:r>
        <w:rPr>
          <w:rFonts w:hint="eastAsia" w:ascii="宋体" w:hAnsi="宋体" w:eastAsia="宋体" w:cs="宋体"/>
          <w:sz w:val="28"/>
          <w:szCs w:val="28"/>
        </w:rPr>
        <w:t xml:space="preserve">1.</w:t>
      </w:r>
      <w:r>
        <w:rPr>
          <w:rFonts w:hint="eastAsia" w:ascii="宋体" w:hAnsi="宋体" w:eastAsia="宋体" w:cs="宋体"/>
          <w:sz w:val="28"/>
          <w:szCs w:val="28"/>
          <w:u w:val="single"/>
        </w:rPr>
        <w:t xml:space="preserve"> （标的名称）        </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 其他未列明行业 </w:t>
      </w:r>
      <w:r>
        <w:rPr>
          <w:rFonts w:hint="eastAsia" w:ascii="宋体" w:hAnsi="宋体" w:eastAsia="宋体" w:cs="宋体"/>
          <w:sz w:val="28"/>
          <w:szCs w:val="28"/>
        </w:rPr>
        <w:t xml:space="preserve">；承建（承接）企业为</w:t>
      </w:r>
      <w:r>
        <w:rPr>
          <w:rFonts w:hint="eastAsia" w:ascii="宋体" w:hAnsi="宋体" w:eastAsia="宋体" w:cs="宋体"/>
          <w:sz w:val="28"/>
          <w:szCs w:val="28"/>
          <w:u w:val="single"/>
        </w:rPr>
        <w:t xml:space="preserve"> （企业名称）</w:t>
      </w:r>
      <w:r>
        <w:rPr>
          <w:rFonts w:hint="eastAsia" w:ascii="宋体" w:hAnsi="宋体" w:eastAsia="宋体" w:cs="宋体"/>
          <w:sz w:val="28"/>
          <w:szCs w:val="28"/>
        </w:rPr>
        <w:t xml:space="preserve">，从业人员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rPr>
        <w:t xml:space="preserve">（中型企业、小型企业、微型企业）</w:t>
      </w:r>
      <w:r>
        <w:rPr>
          <w:rFonts w:hint="eastAsia" w:ascii="宋体" w:hAnsi="宋体" w:eastAsia="宋体" w:cs="宋体"/>
          <w:sz w:val="28"/>
          <w:szCs w:val="28"/>
        </w:rPr>
        <w:t xml:space="preserve">；</w:t>
      </w:r>
      <w:r/>
    </w:p>
    <w:p>
      <w:pPr>
        <w:ind w:firstLine="560"/>
        <w:spacing w:line="440" w:lineRule="exact"/>
        <w:rPr>
          <w:rFonts w:hint="eastAsia" w:ascii="宋体" w:hAnsi="宋体" w:eastAsia="宋体" w:cs="宋体"/>
          <w:sz w:val="28"/>
          <w:szCs w:val="28"/>
          <w:u w:val="single"/>
        </w:rPr>
      </w:pPr>
      <w:r>
        <w:rPr>
          <w:rFonts w:hint="eastAsia" w:ascii="宋体" w:hAnsi="宋体" w:eastAsia="宋体" w:cs="宋体"/>
          <w:sz w:val="28"/>
          <w:szCs w:val="28"/>
        </w:rPr>
        <w:t xml:space="preserve">2.</w:t>
      </w:r>
      <w:r>
        <w:rPr>
          <w:rFonts w:hint="eastAsia" w:ascii="宋体" w:hAnsi="宋体" w:eastAsia="宋体" w:cs="宋体"/>
          <w:sz w:val="28"/>
          <w:szCs w:val="28"/>
          <w:u w:val="single"/>
        </w:rPr>
        <w:t xml:space="preserve">（标的名称）        </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  （采购文件中明确的所属行业） </w:t>
      </w:r>
      <w:r>
        <w:rPr>
          <w:rFonts w:hint="eastAsia" w:ascii="宋体" w:hAnsi="宋体" w:eastAsia="宋体" w:cs="宋体"/>
          <w:sz w:val="28"/>
          <w:szCs w:val="28"/>
        </w:rPr>
        <w:t xml:space="preserve">；承建（承接）企业为</w:t>
      </w:r>
      <w:r>
        <w:rPr>
          <w:rFonts w:hint="eastAsia" w:ascii="宋体" w:hAnsi="宋体" w:eastAsia="宋体" w:cs="宋体"/>
          <w:sz w:val="28"/>
          <w:szCs w:val="28"/>
          <w:u w:val="single"/>
        </w:rPr>
        <w:t xml:space="preserve"> （企业名称）</w:t>
      </w:r>
      <w:r>
        <w:rPr>
          <w:rFonts w:hint="eastAsia" w:ascii="宋体" w:hAnsi="宋体" w:eastAsia="宋体" w:cs="宋体"/>
          <w:sz w:val="28"/>
          <w:szCs w:val="28"/>
        </w:rPr>
        <w:t xml:space="preserve">，从业人员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u w:val="single"/>
        </w:rPr>
        <w:t xml:space="preserve"> （中型企业、小型企业、微型企业）       </w:t>
      </w:r>
      <w:r>
        <w:rPr>
          <w:rFonts w:hint="eastAsia" w:ascii="宋体" w:hAnsi="宋体" w:eastAsia="宋体" w:cs="宋体"/>
          <w:sz w:val="28"/>
          <w:szCs w:val="28"/>
        </w:rPr>
        <w:t xml:space="preserve">；</w:t>
      </w:r>
      <w:r/>
    </w:p>
    <w:p>
      <w:pPr>
        <w:pStyle w:val="711"/>
        <w:ind w:left="930" w:firstLine="0"/>
        <w:spacing w:line="440" w:lineRule="exact"/>
        <w:rPr>
          <w:rFonts w:hint="eastAsia" w:ascii="宋体" w:hAnsi="宋体" w:eastAsia="宋体" w:cs="宋体"/>
          <w:sz w:val="28"/>
          <w:szCs w:val="28"/>
        </w:rPr>
      </w:pPr>
      <w:r>
        <w:rPr>
          <w:rFonts w:hint="eastAsia" w:ascii="宋体" w:hAnsi="宋体" w:eastAsia="宋体" w:cs="宋体"/>
          <w:sz w:val="28"/>
          <w:szCs w:val="28"/>
        </w:rPr>
        <w:t xml:space="preserve">……</w:t>
      </w:r>
      <w:r/>
    </w:p>
    <w:p>
      <w:pPr>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p>
    <w:p>
      <w:pPr>
        <w:ind w:firstLine="570"/>
        <w:spacing w:line="440" w:lineRule="exact"/>
        <w:rPr>
          <w:rFonts w:hint="eastAsia" w:ascii="宋体" w:hAnsi="宋体" w:eastAsia="宋体" w:cs="宋体"/>
          <w:sz w:val="28"/>
          <w:szCs w:val="28"/>
        </w:rPr>
      </w:pPr>
      <w:r>
        <w:rPr>
          <w:rFonts w:hint="eastAsia" w:ascii="宋体" w:hAnsi="宋体" w:eastAsia="宋体" w:cs="宋体"/>
          <w:sz w:val="28"/>
          <w:szCs w:val="28"/>
        </w:rPr>
        <w:t xml:space="preserve">本企业对上述声明内容的真实性负责。如有虚假，将依法承担相应责任。</w:t>
      </w:r>
      <w:r/>
    </w:p>
    <w:p>
      <w:pPr>
        <w:ind w:firstLine="4760"/>
        <w:spacing w:line="440" w:lineRule="exact"/>
        <w:rPr>
          <w:rFonts w:hint="eastAsia" w:ascii="宋体" w:hAnsi="宋体" w:eastAsia="宋体" w:cs="宋体"/>
          <w:sz w:val="28"/>
          <w:szCs w:val="28"/>
        </w:rPr>
      </w:pPr>
      <w:r>
        <w:rPr>
          <w:rFonts w:hint="eastAsia" w:ascii="宋体" w:hAnsi="宋体" w:eastAsia="宋体" w:cs="宋体"/>
          <w:sz w:val="28"/>
          <w:szCs w:val="28"/>
        </w:rPr>
        <w:t xml:space="preserve">企业名称（盖章）：</w:t>
      </w:r>
      <w:r/>
    </w:p>
    <w:p>
      <w:pPr>
        <w:ind w:firstLine="4760"/>
        <w:spacing w:line="440" w:lineRule="exact"/>
        <w:rPr>
          <w:rFonts w:hint="eastAsia" w:ascii="宋体" w:hAnsi="宋体" w:eastAsia="宋体" w:cs="宋体"/>
          <w:sz w:val="28"/>
          <w:szCs w:val="28"/>
        </w:rPr>
      </w:pPr>
      <w:r>
        <w:rPr>
          <w:rFonts w:hint="eastAsia" w:ascii="宋体" w:hAnsi="宋体" w:eastAsia="宋体" w:cs="宋体"/>
          <w:sz w:val="28"/>
          <w:szCs w:val="28"/>
        </w:rPr>
        <w:t xml:space="preserve">日  期：</w:t>
      </w:r>
      <w:r/>
    </w:p>
    <w:p>
      <w:pPr>
        <w:pStyle w:val="710"/>
        <w:spacing w:line="440" w:lineRule="exact"/>
        <w:rPr>
          <w:rFonts w:hint="eastAsia" w:ascii="宋体" w:hAnsi="宋体" w:eastAsia="宋体" w:cs="宋体"/>
          <w:sz w:val="28"/>
          <w:szCs w:val="28"/>
        </w:rPr>
      </w:pPr>
      <w:r>
        <w:rPr>
          <w:rFonts w:hint="eastAsia" w:ascii="宋体" w:hAnsi="宋体" w:eastAsia="宋体" w:cs="宋体"/>
          <w:sz w:val="28"/>
          <w:szCs w:val="28"/>
        </w:rPr>
        <w:t xml:space="preserve">注：1、从业人员、营业收入填报上一年度数据，无上一年度数据的新成立企业可不填报。</w:t>
      </w:r>
      <w:r/>
    </w:p>
    <w:p>
      <w:pPr>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2、供应商如不提供此声明函，价格将不做相应扣除。</w:t>
      </w:r>
      <w:r/>
    </w:p>
    <w:p>
      <w:pPr>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3、供应商提供的声明函内容不实的，属于提供虚假材料谋取中标，依照《中华人民共和国政府采购法》等国家有关规定追究相应责任。</w:t>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32"/>
          <w:szCs w:val="32"/>
        </w:rPr>
      </w:pPr>
      <w:r>
        <w:rPr>
          <w:rFonts w:hint="eastAsia" w:ascii="楷体" w:hAnsi="楷体" w:eastAsia="楷体" w:cs="宋体"/>
          <w:b/>
          <w:sz w:val="32"/>
          <w:szCs w:val="32"/>
        </w:rPr>
        <w:t xml:space="preserve">3.5采购需求响应表（格式自拟）</w:t>
      </w:r>
      <w:r/>
    </w:p>
    <w:p>
      <w:r/>
      <w:r/>
    </w:p>
    <w:sectPr>
      <w:footnotePr/>
      <w:endnotePr/>
      <w:type w:val="nextPage"/>
      <w:pgSz w:w="11906" w:h="16838" w:orient="portrait"/>
      <w:pgMar w:top="1247" w:right="1735" w:bottom="1191"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黑体">
    <w:panose1 w:val="02010609060101010101"/>
  </w:font>
  <w:font w:name="仿宋_GB2312">
    <w:panose1 w:val="02010609060101010101"/>
  </w:font>
  <w:font w:name="Calibri">
    <w:panose1 w:val="020F0502020204030204"/>
  </w:font>
  <w:font w:name="Courier New">
    <w:panose1 w:val="02070309020205020404"/>
  </w:font>
  <w:font w:name="Calibri Light">
    <w:panose1 w:val="020F03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jc w:val="center"/>
    </w:pPr>
    <w:r>
      <w:fldChar w:fldCharType="begin"/>
    </w:r>
    <w:r>
      <w:instrText xml:space="preserve">PAGE   \* MERGEFORMAT</w:instrText>
    </w:r>
    <w:r>
      <w:fldChar w:fldCharType="separate"/>
    </w:r>
    <w:r>
      <w:rPr>
        <w:lang w:val="zh-CN"/>
      </w:rPr>
      <w:t xml:space="preserve">16</w:t>
    </w:r>
    <w:r>
      <w:fldChar w:fldCharType="end"/>
    </w:r>
    <w:r/>
  </w:p>
  <w:p>
    <w:pPr>
      <w:pStyle w:val="6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pPr>
      <w:r>
        <w:separator/>
      </w:r>
      <w:r/>
    </w:p>
  </w:footnote>
  <w:footnote w:type="continuationSeparator" w:id="0">
    <w:p>
      <w:pPr>
        <w:spacing w:before="0" w:after="0"/>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4"/>
    <w:link w:val="635"/>
    <w:uiPriority w:val="9"/>
    <w:rPr>
      <w:rFonts w:ascii="Arial" w:hAnsi="Arial" w:eastAsia="Arial" w:cs="Arial"/>
      <w:sz w:val="40"/>
      <w:szCs w:val="40"/>
    </w:rPr>
  </w:style>
  <w:style w:type="character" w:styleId="15">
    <w:name w:val="Heading 2 Char"/>
    <w:basedOn w:val="644"/>
    <w:link w:val="636"/>
    <w:uiPriority w:val="9"/>
    <w:rPr>
      <w:rFonts w:ascii="Arial" w:hAnsi="Arial" w:eastAsia="Arial" w:cs="Arial"/>
      <w:sz w:val="34"/>
    </w:rPr>
  </w:style>
  <w:style w:type="character" w:styleId="17">
    <w:name w:val="Heading 3 Char"/>
    <w:basedOn w:val="644"/>
    <w:link w:val="637"/>
    <w:uiPriority w:val="9"/>
    <w:rPr>
      <w:rFonts w:ascii="Arial" w:hAnsi="Arial" w:eastAsia="Arial" w:cs="Arial"/>
      <w:sz w:val="30"/>
      <w:szCs w:val="30"/>
    </w:rPr>
  </w:style>
  <w:style w:type="character" w:styleId="19">
    <w:name w:val="Heading 4 Char"/>
    <w:basedOn w:val="644"/>
    <w:link w:val="638"/>
    <w:uiPriority w:val="9"/>
    <w:rPr>
      <w:rFonts w:ascii="Arial" w:hAnsi="Arial" w:eastAsia="Arial" w:cs="Arial"/>
      <w:b/>
      <w:bCs/>
      <w:sz w:val="26"/>
      <w:szCs w:val="26"/>
    </w:rPr>
  </w:style>
  <w:style w:type="character" w:styleId="21">
    <w:name w:val="Heading 5 Char"/>
    <w:basedOn w:val="644"/>
    <w:link w:val="639"/>
    <w:uiPriority w:val="9"/>
    <w:rPr>
      <w:rFonts w:ascii="Arial" w:hAnsi="Arial" w:eastAsia="Arial" w:cs="Arial"/>
      <w:b/>
      <w:bCs/>
      <w:sz w:val="24"/>
      <w:szCs w:val="24"/>
    </w:rPr>
  </w:style>
  <w:style w:type="character" w:styleId="23">
    <w:name w:val="Heading 6 Char"/>
    <w:basedOn w:val="644"/>
    <w:link w:val="640"/>
    <w:uiPriority w:val="9"/>
    <w:rPr>
      <w:rFonts w:ascii="Arial" w:hAnsi="Arial" w:eastAsia="Arial" w:cs="Arial"/>
      <w:b/>
      <w:bCs/>
      <w:sz w:val="22"/>
      <w:szCs w:val="22"/>
    </w:rPr>
  </w:style>
  <w:style w:type="character" w:styleId="25">
    <w:name w:val="Heading 7 Char"/>
    <w:basedOn w:val="644"/>
    <w:link w:val="641"/>
    <w:uiPriority w:val="9"/>
    <w:rPr>
      <w:rFonts w:ascii="Arial" w:hAnsi="Arial" w:eastAsia="Arial" w:cs="Arial"/>
      <w:b/>
      <w:bCs/>
      <w:i/>
      <w:iCs/>
      <w:sz w:val="22"/>
      <w:szCs w:val="22"/>
    </w:rPr>
  </w:style>
  <w:style w:type="character" w:styleId="27">
    <w:name w:val="Heading 8 Char"/>
    <w:basedOn w:val="644"/>
    <w:link w:val="642"/>
    <w:uiPriority w:val="9"/>
    <w:rPr>
      <w:rFonts w:ascii="Arial" w:hAnsi="Arial" w:eastAsia="Arial" w:cs="Arial"/>
      <w:i/>
      <w:iCs/>
      <w:sz w:val="22"/>
      <w:szCs w:val="22"/>
    </w:rPr>
  </w:style>
  <w:style w:type="character" w:styleId="29">
    <w:name w:val="Heading 9 Char"/>
    <w:basedOn w:val="644"/>
    <w:link w:val="643"/>
    <w:uiPriority w:val="9"/>
    <w:rPr>
      <w:rFonts w:ascii="Arial" w:hAnsi="Arial" w:eastAsia="Arial" w:cs="Arial"/>
      <w:i/>
      <w:iCs/>
      <w:sz w:val="21"/>
      <w:szCs w:val="21"/>
    </w:rPr>
  </w:style>
  <w:style w:type="character" w:styleId="34">
    <w:name w:val="Title Char"/>
    <w:basedOn w:val="644"/>
    <w:link w:val="670"/>
    <w:uiPriority w:val="10"/>
    <w:rPr>
      <w:sz w:val="48"/>
      <w:szCs w:val="48"/>
    </w:rPr>
  </w:style>
  <w:style w:type="character" w:styleId="38">
    <w:name w:val="Quote Char"/>
    <w:link w:val="716"/>
    <w:uiPriority w:val="29"/>
    <w:rPr>
      <w:i/>
    </w:rPr>
  </w:style>
  <w:style w:type="character" w:styleId="40">
    <w:name w:val="Intense Quote Char"/>
    <w:link w:val="718"/>
    <w:uiPriority w:val="30"/>
    <w:rPr>
      <w:i/>
    </w:rPr>
  </w:style>
  <w:style w:type="character" w:styleId="42">
    <w:name w:val="Header Char"/>
    <w:basedOn w:val="644"/>
    <w:link w:val="659"/>
    <w:uiPriority w:val="99"/>
  </w:style>
  <w:style w:type="character" w:styleId="44">
    <w:name w:val="Footer Char"/>
    <w:basedOn w:val="644"/>
    <w:link w:val="658"/>
    <w:uiPriority w:val="99"/>
  </w:style>
  <w:style w:type="paragraph" w:styleId="189">
    <w:name w:val="TOC Heading"/>
    <w:uiPriority w:val="39"/>
    <w:unhideWhenUsed/>
  </w:style>
  <w:style w:type="paragraph" w:styleId="634" w:default="1">
    <w:name w:val="Normal"/>
    <w:uiPriority w:val="0"/>
    <w:qFormat/>
    <w:pPr>
      <w:jc w:val="both"/>
      <w:spacing w:after="0"/>
      <w:widowControl w:val="off"/>
    </w:pPr>
    <w:rPr>
      <w:rFonts w:ascii="Times New Roman" w:hAnsi="Times New Roman" w:eastAsia="宋体" w:cs="Times New Roman"/>
      <w:sz w:val="24"/>
      <w:szCs w:val="24"/>
      <w:lang w:val="en-US" w:eastAsia="zh-CN" w:bidi="ar-SA"/>
    </w:rPr>
  </w:style>
  <w:style w:type="paragraph" w:styleId="635">
    <w:name w:val="Heading 1"/>
    <w:basedOn w:val="634"/>
    <w:next w:val="634"/>
    <w:link w:val="687"/>
    <w:uiPriority w:val="0"/>
    <w:qFormat/>
    <w:pPr>
      <w:keepLines/>
      <w:keepNext/>
      <w:spacing w:before="340" w:after="330" w:line="578" w:lineRule="auto"/>
      <w:outlineLvl w:val="0"/>
    </w:pPr>
    <w:rPr>
      <w:rFonts w:ascii="Times New Roman" w:hAnsi="Times New Roman" w:eastAsia="宋体" w:cs="Times New Roman"/>
      <w:b/>
      <w:bCs/>
      <w:sz w:val="44"/>
      <w:szCs w:val="44"/>
    </w:rPr>
  </w:style>
  <w:style w:type="paragraph" w:styleId="636">
    <w:name w:val="Heading 2"/>
    <w:basedOn w:val="634"/>
    <w:next w:val="634"/>
    <w:link w:val="688"/>
    <w:uiPriority w:val="0"/>
    <w:qFormat/>
    <w:pPr>
      <w:keepLines/>
      <w:keepNext/>
      <w:spacing w:before="260" w:after="260" w:line="416" w:lineRule="auto"/>
      <w:outlineLvl w:val="1"/>
    </w:pPr>
    <w:rPr>
      <w:rFonts w:ascii="Calibri Light" w:hAnsi="Calibri Light" w:eastAsia="Arial" w:cs="Arial"/>
      <w:b/>
      <w:bCs/>
      <w:sz w:val="32"/>
      <w:szCs w:val="32"/>
    </w:rPr>
  </w:style>
  <w:style w:type="paragraph" w:styleId="637">
    <w:name w:val="Heading 3"/>
    <w:basedOn w:val="634"/>
    <w:next w:val="634"/>
    <w:link w:val="689"/>
    <w:uiPriority w:val="0"/>
    <w:qFormat/>
    <w:pPr>
      <w:keepLines/>
      <w:keepNext/>
      <w:spacing w:before="320" w:after="200"/>
      <w:outlineLvl w:val="2"/>
    </w:pPr>
    <w:rPr>
      <w:rFonts w:ascii="Arial" w:hAnsi="Arial" w:eastAsia="Arial" w:cs="Arial"/>
      <w:sz w:val="30"/>
      <w:szCs w:val="30"/>
    </w:rPr>
  </w:style>
  <w:style w:type="paragraph" w:styleId="638">
    <w:name w:val="Heading 4"/>
    <w:basedOn w:val="634"/>
    <w:next w:val="634"/>
    <w:link w:val="690"/>
    <w:uiPriority w:val="0"/>
    <w:qFormat/>
    <w:pPr>
      <w:keepLines/>
      <w:keepNext/>
      <w:spacing w:before="320" w:after="200"/>
      <w:outlineLvl w:val="3"/>
    </w:pPr>
    <w:rPr>
      <w:rFonts w:ascii="Arial" w:hAnsi="Arial" w:eastAsia="Arial" w:cs="Arial"/>
      <w:b/>
      <w:bCs/>
      <w:sz w:val="26"/>
      <w:szCs w:val="26"/>
    </w:rPr>
  </w:style>
  <w:style w:type="paragraph" w:styleId="639">
    <w:name w:val="Heading 5"/>
    <w:basedOn w:val="634"/>
    <w:next w:val="634"/>
    <w:link w:val="691"/>
    <w:uiPriority w:val="0"/>
    <w:qFormat/>
    <w:pPr>
      <w:keepLines/>
      <w:keepNext/>
      <w:spacing w:before="320" w:after="200"/>
      <w:outlineLvl w:val="4"/>
    </w:pPr>
    <w:rPr>
      <w:rFonts w:ascii="Arial" w:hAnsi="Arial" w:eastAsia="Arial" w:cs="Arial"/>
      <w:b/>
      <w:bCs/>
      <w:sz w:val="24"/>
      <w:szCs w:val="24"/>
    </w:rPr>
  </w:style>
  <w:style w:type="paragraph" w:styleId="640">
    <w:name w:val="Heading 6"/>
    <w:basedOn w:val="634"/>
    <w:next w:val="634"/>
    <w:link w:val="692"/>
    <w:uiPriority w:val="0"/>
    <w:qFormat/>
    <w:pPr>
      <w:keepLines/>
      <w:keepNext/>
      <w:spacing w:before="320" w:after="200"/>
      <w:outlineLvl w:val="5"/>
    </w:pPr>
    <w:rPr>
      <w:rFonts w:ascii="Arial" w:hAnsi="Arial" w:eastAsia="Arial" w:cs="Arial"/>
      <w:b/>
      <w:bCs/>
      <w:sz w:val="22"/>
      <w:szCs w:val="22"/>
    </w:rPr>
  </w:style>
  <w:style w:type="paragraph" w:styleId="641">
    <w:name w:val="Heading 7"/>
    <w:basedOn w:val="634"/>
    <w:next w:val="634"/>
    <w:link w:val="693"/>
    <w:uiPriority w:val="0"/>
    <w:qFormat/>
    <w:pPr>
      <w:keepLines/>
      <w:keepNext/>
      <w:spacing w:before="320" w:after="200"/>
      <w:outlineLvl w:val="6"/>
    </w:pPr>
    <w:rPr>
      <w:rFonts w:ascii="Arial" w:hAnsi="Arial" w:eastAsia="Arial" w:cs="Arial"/>
      <w:b/>
      <w:bCs/>
      <w:i/>
      <w:iCs/>
      <w:sz w:val="22"/>
      <w:szCs w:val="22"/>
    </w:rPr>
  </w:style>
  <w:style w:type="paragraph" w:styleId="642">
    <w:name w:val="Heading 8"/>
    <w:basedOn w:val="634"/>
    <w:next w:val="634"/>
    <w:link w:val="694"/>
    <w:uiPriority w:val="0"/>
    <w:qFormat/>
    <w:pPr>
      <w:keepLines/>
      <w:keepNext/>
      <w:spacing w:before="320" w:after="200"/>
      <w:outlineLvl w:val="7"/>
    </w:pPr>
    <w:rPr>
      <w:rFonts w:ascii="Arial" w:hAnsi="Arial" w:eastAsia="Arial" w:cs="Arial"/>
      <w:i/>
      <w:iCs/>
      <w:sz w:val="22"/>
      <w:szCs w:val="22"/>
    </w:rPr>
  </w:style>
  <w:style w:type="paragraph" w:styleId="643">
    <w:name w:val="Heading 9"/>
    <w:basedOn w:val="634"/>
    <w:next w:val="634"/>
    <w:link w:val="695"/>
    <w:uiPriority w:val="0"/>
    <w:qFormat/>
    <w:pPr>
      <w:keepLines/>
      <w:keepNext/>
      <w:spacing w:before="320" w:after="200"/>
      <w:outlineLvl w:val="8"/>
    </w:pPr>
    <w:rPr>
      <w:rFonts w:ascii="Arial" w:hAnsi="Arial" w:eastAsia="Arial" w:cs="Arial"/>
      <w:i/>
      <w:iCs/>
      <w:sz w:val="21"/>
      <w:szCs w:val="21"/>
    </w:rPr>
  </w:style>
  <w:style w:type="character" w:styleId="644" w:default="1">
    <w:name w:val="Default Paragraph Font"/>
    <w:uiPriority w:val="0"/>
    <w:qFormat/>
    <w:rPr>
      <w:rFonts w:ascii="Times New Roman" w:hAnsi="Times New Roman" w:eastAsia="宋体" w:cs="Times New Roman"/>
    </w:rPr>
  </w:style>
  <w:style w:type="table" w:styleId="645" w:default="1">
    <w:name w:val="Normal Table"/>
    <w:uiPriority w:val="0"/>
    <w:qFormat/>
    <w:rPr>
      <w:rFonts w:ascii="Times New Roman" w:hAnsi="Times New Roman" w:eastAsia="宋体" w:cs="Times New Roman"/>
    </w:rPr>
    <w:tblPr>
      <w:tblCellMar>
        <w:left w:w="108" w:type="dxa"/>
        <w:top w:w="0" w:type="dxa"/>
        <w:right w:w="108" w:type="dxa"/>
        <w:bottom w:w="0" w:type="dxa"/>
      </w:tblCellMar>
    </w:tblPr>
  </w:style>
  <w:style w:type="paragraph" w:styleId="646">
    <w:name w:val="toc 7"/>
    <w:basedOn w:val="634"/>
    <w:next w:val="634"/>
    <w:uiPriority w:val="0"/>
    <w:qFormat/>
    <w:pPr>
      <w:ind w:left="1701" w:right="0" w:firstLine="0"/>
      <w:spacing w:after="57"/>
    </w:pPr>
    <w:rPr>
      <w:rFonts w:ascii="Times New Roman" w:hAnsi="Times New Roman" w:eastAsia="宋体" w:cs="Times New Roman"/>
    </w:rPr>
  </w:style>
  <w:style w:type="paragraph" w:styleId="647">
    <w:name w:val="Caption"/>
    <w:basedOn w:val="634"/>
    <w:next w:val="634"/>
    <w:uiPriority w:val="0"/>
    <w:qFormat/>
    <w:pPr>
      <w:spacing w:line="276" w:lineRule="auto"/>
    </w:pPr>
    <w:rPr>
      <w:rFonts w:ascii="Times New Roman" w:hAnsi="Times New Roman" w:eastAsia="宋体" w:cs="Times New Roman"/>
      <w:b/>
      <w:bCs/>
      <w:color w:val="5b9bd5"/>
      <w:sz w:val="18"/>
      <w:szCs w:val="18"/>
    </w:rPr>
  </w:style>
  <w:style w:type="paragraph" w:styleId="648">
    <w:name w:val="Document Map"/>
    <w:basedOn w:val="634"/>
    <w:link w:val="696"/>
    <w:uiPriority w:val="0"/>
    <w:qFormat/>
    <w:rPr>
      <w:rFonts w:ascii="宋体" w:hAnsi="Times New Roman" w:eastAsia="宋体" w:cs="Times New Roman"/>
      <w:sz w:val="18"/>
      <w:szCs w:val="18"/>
    </w:rPr>
  </w:style>
  <w:style w:type="paragraph" w:styleId="649">
    <w:name w:val="annotation text"/>
    <w:basedOn w:val="634"/>
    <w:link w:val="697"/>
    <w:uiPriority w:val="0"/>
    <w:qFormat/>
    <w:pPr>
      <w:jc w:val="left"/>
    </w:pPr>
    <w:rPr>
      <w:rFonts w:ascii="Times New Roman" w:hAnsi="Times New Roman" w:eastAsia="宋体" w:cs="Times New Roman"/>
    </w:rPr>
  </w:style>
  <w:style w:type="paragraph" w:styleId="650">
    <w:name w:val="Body Text"/>
    <w:basedOn w:val="634"/>
    <w:link w:val="698"/>
    <w:uiPriority w:val="0"/>
    <w:qFormat/>
    <w:pPr>
      <w:spacing w:after="120"/>
    </w:pPr>
    <w:rPr>
      <w:rFonts w:ascii="Times New Roman" w:hAnsi="Times New Roman" w:eastAsia="宋体" w:cs="Times New Roman"/>
    </w:rPr>
  </w:style>
  <w:style w:type="paragraph" w:styleId="651">
    <w:name w:val="toc 5"/>
    <w:basedOn w:val="634"/>
    <w:next w:val="634"/>
    <w:uiPriority w:val="0"/>
    <w:qFormat/>
    <w:pPr>
      <w:ind w:left="1134" w:right="0" w:firstLine="0"/>
      <w:spacing w:after="57"/>
    </w:pPr>
    <w:rPr>
      <w:rFonts w:ascii="Times New Roman" w:hAnsi="Times New Roman" w:eastAsia="宋体" w:cs="Times New Roman"/>
    </w:rPr>
  </w:style>
  <w:style w:type="paragraph" w:styleId="652">
    <w:name w:val="toc 3"/>
    <w:basedOn w:val="634"/>
    <w:next w:val="634"/>
    <w:uiPriority w:val="0"/>
    <w:qFormat/>
    <w:pPr>
      <w:ind w:left="567" w:right="0" w:firstLine="0"/>
      <w:spacing w:after="57"/>
    </w:pPr>
    <w:rPr>
      <w:rFonts w:ascii="Times New Roman" w:hAnsi="Times New Roman" w:eastAsia="宋体" w:cs="Times New Roman"/>
    </w:rPr>
  </w:style>
  <w:style w:type="paragraph" w:styleId="653">
    <w:name w:val="Plain Text"/>
    <w:basedOn w:val="634"/>
    <w:link w:val="699"/>
    <w:uiPriority w:val="0"/>
    <w:qFormat/>
    <w:rPr>
      <w:rFonts w:ascii="宋体" w:hAnsi="Courier New" w:eastAsia="宋体" w:cs="Times New Roman"/>
      <w:szCs w:val="20"/>
    </w:rPr>
  </w:style>
  <w:style w:type="paragraph" w:styleId="654">
    <w:name w:val="toc 8"/>
    <w:basedOn w:val="634"/>
    <w:next w:val="634"/>
    <w:uiPriority w:val="0"/>
    <w:qFormat/>
    <w:pPr>
      <w:ind w:left="1984" w:right="0" w:firstLine="0"/>
      <w:spacing w:after="57"/>
    </w:pPr>
    <w:rPr>
      <w:rFonts w:ascii="Times New Roman" w:hAnsi="Times New Roman" w:eastAsia="宋体" w:cs="Times New Roman"/>
    </w:rPr>
  </w:style>
  <w:style w:type="paragraph" w:styleId="655">
    <w:name w:val="Body Text Indent 2"/>
    <w:basedOn w:val="634"/>
    <w:uiPriority w:val="0"/>
    <w:qFormat/>
    <w:pPr>
      <w:ind w:left="420"/>
      <w:spacing w:after="120" w:line="480" w:lineRule="auto"/>
    </w:pPr>
    <w:rPr>
      <w:rFonts w:ascii="Times New Roman" w:hAnsi="Times New Roman" w:eastAsia="宋体" w:cs="Times New Roman"/>
    </w:rPr>
  </w:style>
  <w:style w:type="paragraph" w:styleId="656">
    <w:name w:val="endnote text"/>
    <w:basedOn w:val="634"/>
    <w:link w:val="700"/>
    <w:uiPriority w:val="0"/>
    <w:qFormat/>
    <w:pPr>
      <w:spacing w:after="0" w:line="240" w:lineRule="auto"/>
    </w:pPr>
    <w:rPr>
      <w:rFonts w:ascii="Times New Roman" w:hAnsi="Times New Roman" w:eastAsia="宋体" w:cs="Times New Roman"/>
      <w:sz w:val="20"/>
    </w:rPr>
  </w:style>
  <w:style w:type="paragraph" w:styleId="657">
    <w:name w:val="Balloon Text"/>
    <w:basedOn w:val="634"/>
    <w:link w:val="701"/>
    <w:uiPriority w:val="0"/>
    <w:qFormat/>
    <w:rPr>
      <w:rFonts w:ascii="Times New Roman" w:hAnsi="Times New Roman" w:eastAsia="宋体" w:cs="Times New Roman"/>
      <w:sz w:val="18"/>
      <w:szCs w:val="18"/>
    </w:rPr>
  </w:style>
  <w:style w:type="paragraph" w:styleId="658">
    <w:name w:val="Footer"/>
    <w:basedOn w:val="634"/>
    <w:link w:val="702"/>
    <w:uiPriority w:val="0"/>
    <w:qFormat/>
    <w:pPr>
      <w:jc w:val="left"/>
      <w:tabs>
        <w:tab w:val="center" w:pos="4153" w:leader="none"/>
        <w:tab w:val="right" w:pos="8306" w:leader="none"/>
      </w:tabs>
    </w:pPr>
    <w:rPr>
      <w:rFonts w:ascii="Calibri" w:hAnsi="Calibri" w:eastAsia="Arial" w:cs="Arial"/>
      <w:sz w:val="18"/>
      <w:szCs w:val="18"/>
    </w:rPr>
  </w:style>
  <w:style w:type="paragraph" w:styleId="659">
    <w:name w:val="Header"/>
    <w:basedOn w:val="634"/>
    <w:link w:val="703"/>
    <w:uiPriority w:val="0"/>
    <w:qFormat/>
    <w:pPr>
      <w:jc w:val="center"/>
      <w:tabs>
        <w:tab w:val="center" w:pos="4153" w:leader="none"/>
        <w:tab w:val="right" w:pos="8306" w:leader="none"/>
      </w:tabs>
    </w:pPr>
    <w:rPr>
      <w:rFonts w:ascii="Calibri" w:hAnsi="Calibri" w:eastAsia="Arial" w:cs="Arial"/>
      <w:sz w:val="18"/>
      <w:szCs w:val="18"/>
    </w:rPr>
  </w:style>
  <w:style w:type="paragraph" w:styleId="660">
    <w:name w:val="toc 1"/>
    <w:basedOn w:val="634"/>
    <w:next w:val="634"/>
    <w:uiPriority w:val="0"/>
    <w:qFormat/>
    <w:pPr>
      <w:ind w:left="0" w:right="0" w:firstLine="0"/>
      <w:spacing w:after="57"/>
    </w:pPr>
    <w:rPr>
      <w:rFonts w:ascii="Times New Roman" w:hAnsi="Times New Roman" w:eastAsia="宋体" w:cs="Times New Roman"/>
    </w:rPr>
  </w:style>
  <w:style w:type="paragraph" w:styleId="661">
    <w:name w:val="toc 4"/>
    <w:basedOn w:val="634"/>
    <w:next w:val="634"/>
    <w:uiPriority w:val="0"/>
    <w:qFormat/>
    <w:pPr>
      <w:ind w:left="850" w:right="0" w:firstLine="0"/>
      <w:spacing w:after="57"/>
    </w:pPr>
    <w:rPr>
      <w:rFonts w:ascii="Times New Roman" w:hAnsi="Times New Roman" w:eastAsia="宋体" w:cs="Times New Roman"/>
    </w:rPr>
  </w:style>
  <w:style w:type="paragraph" w:styleId="662">
    <w:name w:val="Subtitle"/>
    <w:basedOn w:val="634"/>
    <w:next w:val="634"/>
    <w:link w:val="704"/>
    <w:uiPriority w:val="0"/>
    <w:qFormat/>
    <w:pPr>
      <w:spacing w:before="200" w:after="200"/>
    </w:pPr>
    <w:rPr>
      <w:rFonts w:ascii="Times New Roman" w:hAnsi="Times New Roman" w:eastAsia="宋体" w:cs="Times New Roman"/>
      <w:sz w:val="24"/>
      <w:szCs w:val="24"/>
    </w:rPr>
  </w:style>
  <w:style w:type="paragraph" w:styleId="663">
    <w:name w:val="footnote text"/>
    <w:basedOn w:val="634"/>
    <w:link w:val="705"/>
    <w:uiPriority w:val="0"/>
    <w:qFormat/>
    <w:pPr>
      <w:spacing w:after="40" w:line="240" w:lineRule="auto"/>
    </w:pPr>
    <w:rPr>
      <w:rFonts w:ascii="Times New Roman" w:hAnsi="Times New Roman" w:eastAsia="宋体" w:cs="Times New Roman"/>
      <w:sz w:val="18"/>
    </w:rPr>
  </w:style>
  <w:style w:type="paragraph" w:styleId="664">
    <w:name w:val="toc 6"/>
    <w:basedOn w:val="634"/>
    <w:next w:val="634"/>
    <w:uiPriority w:val="0"/>
    <w:qFormat/>
    <w:pPr>
      <w:ind w:left="1417" w:right="0" w:firstLine="0"/>
      <w:spacing w:after="57"/>
    </w:pPr>
    <w:rPr>
      <w:rFonts w:ascii="Times New Roman" w:hAnsi="Times New Roman" w:eastAsia="宋体" w:cs="Times New Roman"/>
    </w:rPr>
  </w:style>
  <w:style w:type="paragraph" w:styleId="665">
    <w:name w:val="Body Text Indent 3"/>
    <w:basedOn w:val="634"/>
    <w:link w:val="706"/>
    <w:uiPriority w:val="0"/>
    <w:qFormat/>
    <w:pPr>
      <w:ind w:left="645" w:firstLine="645"/>
    </w:pPr>
    <w:rPr>
      <w:rFonts w:ascii="Arial" w:hAnsi="Arial" w:eastAsia="仿宋_GB2312" w:cs="Times New Roman"/>
      <w:color w:val="ffff00"/>
      <w:sz w:val="32"/>
      <w:szCs w:val="20"/>
    </w:rPr>
  </w:style>
  <w:style w:type="paragraph" w:styleId="666">
    <w:name w:val="table of figures"/>
    <w:basedOn w:val="634"/>
    <w:next w:val="634"/>
    <w:uiPriority w:val="0"/>
    <w:qFormat/>
    <w:pPr>
      <w:spacing w:after="0" w:afterAutospacing="0"/>
    </w:pPr>
    <w:rPr>
      <w:rFonts w:ascii="Times New Roman" w:hAnsi="Times New Roman" w:eastAsia="宋体" w:cs="Times New Roman"/>
    </w:rPr>
  </w:style>
  <w:style w:type="paragraph" w:styleId="667">
    <w:name w:val="toc 2"/>
    <w:basedOn w:val="634"/>
    <w:next w:val="634"/>
    <w:uiPriority w:val="0"/>
    <w:qFormat/>
    <w:pPr>
      <w:ind w:left="283" w:right="0" w:firstLine="0"/>
      <w:spacing w:after="57"/>
    </w:pPr>
    <w:rPr>
      <w:rFonts w:ascii="Times New Roman" w:hAnsi="Times New Roman" w:eastAsia="宋体" w:cs="Times New Roman"/>
    </w:rPr>
  </w:style>
  <w:style w:type="paragraph" w:styleId="668">
    <w:name w:val="toc 9"/>
    <w:basedOn w:val="634"/>
    <w:next w:val="634"/>
    <w:uiPriority w:val="0"/>
    <w:qFormat/>
    <w:pPr>
      <w:ind w:left="2268" w:right="0" w:firstLine="0"/>
      <w:spacing w:after="57"/>
    </w:pPr>
    <w:rPr>
      <w:rFonts w:ascii="Times New Roman" w:hAnsi="Times New Roman" w:eastAsia="宋体" w:cs="Times New Roman"/>
    </w:rPr>
  </w:style>
  <w:style w:type="paragraph" w:styleId="669">
    <w:name w:val="Normal (Web)"/>
    <w:basedOn w:val="634"/>
    <w:uiPriority w:val="0"/>
    <w:qFormat/>
    <w:pPr>
      <w:jc w:val="left"/>
      <w:spacing w:before="150" w:after="150" w:line="480" w:lineRule="auto"/>
    </w:pPr>
    <w:rPr>
      <w:rFonts w:hint="eastAsia" w:ascii="宋体" w:hAnsi="宋体" w:eastAsia="宋体" w:cs="Times New Roman"/>
      <w:color w:val="000000"/>
    </w:rPr>
  </w:style>
  <w:style w:type="paragraph" w:styleId="670">
    <w:name w:val="Title"/>
    <w:basedOn w:val="634"/>
    <w:next w:val="634"/>
    <w:link w:val="707"/>
    <w:uiPriority w:val="0"/>
    <w:qFormat/>
    <w:pPr>
      <w:contextualSpacing/>
      <w:spacing w:before="300" w:after="200"/>
    </w:pPr>
    <w:rPr>
      <w:rFonts w:ascii="Times New Roman" w:hAnsi="Times New Roman" w:eastAsia="宋体" w:cs="Times New Roman"/>
      <w:sz w:val="48"/>
      <w:szCs w:val="48"/>
    </w:rPr>
  </w:style>
  <w:style w:type="paragraph" w:styleId="671">
    <w:name w:val="annotation subject"/>
    <w:basedOn w:val="649"/>
    <w:next w:val="649"/>
    <w:link w:val="708"/>
    <w:uiPriority w:val="0"/>
    <w:qFormat/>
    <w:rPr>
      <w:rFonts w:ascii="Times New Roman" w:hAnsi="Times New Roman" w:eastAsia="宋体" w:cs="Times New Roman"/>
      <w:b/>
      <w:bCs/>
    </w:rPr>
  </w:style>
  <w:style w:type="paragraph" w:styleId="672">
    <w:name w:val="Body Text First Indent"/>
    <w:basedOn w:val="650"/>
    <w:uiPriority w:val="0"/>
    <w:qFormat/>
    <w:pPr>
      <w:ind w:firstLine="420"/>
    </w:pPr>
  </w:style>
  <w:style w:type="table" w:styleId="673">
    <w:name w:val="Table Grid"/>
    <w:basedOn w:val="645"/>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4">
    <w:name w:val="Medium Grid 3"/>
    <w:basedOn w:val="645"/>
    <w:uiPriority w:val="0"/>
    <w:qFormat/>
    <w:rPr>
      <w:rFonts w:ascii="Times New Roman" w:hAnsi="Times New Roman" w:eastAsia="宋体"/>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none" w:color="000000" w:sz="4" w:space="0"/>
          <w:bottom w:val="single" w:color="CCE8CF" w:sz="8"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24" w:space="0"/>
          <w:bottom w:val="single" w:color="CCE8CF" w:sz="8"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000000"/>
        <w:tcBorders>
          <w:top w:val="none" w:color="000000" w:sz="4" w:space="0"/>
          <w:left w:val="none" w:color="000000" w:sz="4" w:space="0"/>
          <w:bottom w:val="single" w:color="CCE8C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675">
    <w:name w:val="Medium Grid 3 Accent 1"/>
    <w:basedOn w:val="645"/>
    <w:uiPriority w:val="0"/>
    <w:qFormat/>
    <w:rPr>
      <w:rFonts w:ascii="Times New Roman" w:hAnsi="Times New Roman" w:eastAsia="宋体"/>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d3dfee"/>
    </w:tcPr>
    <w:tblStylePr w:type="band1Horz">
      <w:tcPr>
        <w:shd w:val="clear" w:color="auto" w:fill="a7bfde"/>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a7bfde"/>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f81bd"/>
        <w:tcBorders>
          <w:top w:val="none" w:color="000000" w:sz="4" w:space="0"/>
          <w:left w:val="none" w:color="000000" w:sz="4" w:space="0"/>
          <w:bottom w:val="single" w:color="CCE8CF" w:sz="8"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f81bd"/>
        <w:tcBorders>
          <w:top w:val="single" w:color="CCE8CF" w:sz="8" w:space="0"/>
          <w:left w:val="single" w:color="CCE8CF" w:sz="24" w:space="0"/>
          <w:bottom w:val="single" w:color="CCE8CF" w:sz="8"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4f81bd"/>
        <w:tcBorders>
          <w:top w:val="none" w:color="000000" w:sz="4" w:space="0"/>
          <w:left w:val="none" w:color="000000" w:sz="4" w:space="0"/>
          <w:bottom w:val="single" w:color="CCE8C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f81bd"/>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676">
    <w:name w:val="Medium Grid 3 Accent 2"/>
    <w:basedOn w:val="645"/>
    <w:uiPriority w:val="0"/>
    <w:qFormat/>
    <w:rPr>
      <w:rFonts w:ascii="Times New Roman" w:hAnsi="Times New Roman" w:eastAsia="宋体"/>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efd3d2"/>
    </w:tcPr>
    <w:tblStylePr w:type="band1Horz">
      <w:tcPr>
        <w:shd w:val="clear" w:color="auto" w:fill="dfa7a6"/>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dfa7a6"/>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c0504d"/>
        <w:tcBorders>
          <w:top w:val="none" w:color="000000" w:sz="4" w:space="0"/>
          <w:left w:val="none" w:color="000000" w:sz="4" w:space="0"/>
          <w:bottom w:val="single" w:color="CCE8CF" w:sz="8"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c0504d"/>
        <w:tcBorders>
          <w:top w:val="single" w:color="CCE8CF" w:sz="8" w:space="0"/>
          <w:left w:val="single" w:color="CCE8CF" w:sz="24" w:space="0"/>
          <w:bottom w:val="single" w:color="CCE8CF" w:sz="8"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c0504d"/>
        <w:tcBorders>
          <w:top w:val="none" w:color="000000" w:sz="4" w:space="0"/>
          <w:left w:val="none" w:color="000000" w:sz="4" w:space="0"/>
          <w:bottom w:val="single" w:color="CCE8C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c0504d"/>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677">
    <w:name w:val="Medium Grid 3 Accent 3"/>
    <w:basedOn w:val="645"/>
    <w:uiPriority w:val="0"/>
    <w:qFormat/>
    <w:rPr>
      <w:rFonts w:ascii="Times New Roman" w:hAnsi="Times New Roman" w:eastAsia="宋体"/>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e6eed5"/>
    </w:tcPr>
    <w:tblStylePr w:type="band1Horz">
      <w:tcPr>
        <w:shd w:val="clear" w:color="auto" w:fill="cdddac"/>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cdddac"/>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9bbb59"/>
        <w:tcBorders>
          <w:top w:val="none" w:color="000000" w:sz="4" w:space="0"/>
          <w:left w:val="none" w:color="000000" w:sz="4" w:space="0"/>
          <w:bottom w:val="single" w:color="CCE8CF" w:sz="8"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9bbb59"/>
        <w:tcBorders>
          <w:top w:val="single" w:color="CCE8CF" w:sz="8" w:space="0"/>
          <w:left w:val="single" w:color="CCE8CF" w:sz="24" w:space="0"/>
          <w:bottom w:val="single" w:color="CCE8CF" w:sz="8"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9bbb59"/>
        <w:tcBorders>
          <w:top w:val="none" w:color="000000" w:sz="4" w:space="0"/>
          <w:left w:val="none" w:color="000000" w:sz="4" w:space="0"/>
          <w:bottom w:val="single" w:color="CCE8C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9bbb59"/>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678">
    <w:name w:val="Medium Grid 3 Accent 4"/>
    <w:basedOn w:val="645"/>
    <w:uiPriority w:val="0"/>
    <w:qFormat/>
    <w:rPr>
      <w:rFonts w:ascii="Times New Roman" w:hAnsi="Times New Roman" w:eastAsia="宋体"/>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dfd8e8"/>
    </w:tcPr>
    <w:tblStylePr w:type="band1Horz">
      <w:tcPr>
        <w:shd w:val="clear" w:color="auto" w:fill="bfb1d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bfb1d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8064a2"/>
        <w:tcBorders>
          <w:top w:val="none" w:color="000000" w:sz="4" w:space="0"/>
          <w:left w:val="none" w:color="000000" w:sz="4" w:space="0"/>
          <w:bottom w:val="single" w:color="CCE8CF" w:sz="8"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8064a2"/>
        <w:tcBorders>
          <w:top w:val="single" w:color="CCE8CF" w:sz="8" w:space="0"/>
          <w:left w:val="single" w:color="CCE8CF" w:sz="24" w:space="0"/>
          <w:bottom w:val="single" w:color="CCE8CF" w:sz="8"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8064a2"/>
        <w:tcBorders>
          <w:top w:val="none" w:color="000000" w:sz="4" w:space="0"/>
          <w:left w:val="none" w:color="000000" w:sz="4" w:space="0"/>
          <w:bottom w:val="single" w:color="CCE8C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8064a2"/>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679">
    <w:name w:val="Medium Grid 3 Accent 5"/>
    <w:basedOn w:val="645"/>
    <w:uiPriority w:val="0"/>
    <w:qFormat/>
    <w:rPr>
      <w:rFonts w:ascii="Times New Roman" w:hAnsi="Times New Roman" w:eastAsia="宋体"/>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d2eaf1"/>
    </w:tcPr>
    <w:tblStylePr w:type="band1Horz">
      <w:tcPr>
        <w:shd w:val="clear" w:color="auto" w:fill="a5d5e2"/>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a5d5e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bacc6"/>
        <w:tcBorders>
          <w:top w:val="none" w:color="000000" w:sz="4" w:space="0"/>
          <w:left w:val="none" w:color="000000" w:sz="4" w:space="0"/>
          <w:bottom w:val="single" w:color="CCE8CF" w:sz="8"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bacc6"/>
        <w:tcBorders>
          <w:top w:val="single" w:color="CCE8CF" w:sz="8" w:space="0"/>
          <w:left w:val="single" w:color="CCE8CF" w:sz="24" w:space="0"/>
          <w:bottom w:val="single" w:color="CCE8CF" w:sz="8"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4bacc6"/>
        <w:tcBorders>
          <w:top w:val="none" w:color="000000" w:sz="4" w:space="0"/>
          <w:left w:val="none" w:color="000000" w:sz="4" w:space="0"/>
          <w:bottom w:val="single" w:color="CCE8C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bacc6"/>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680">
    <w:name w:val="Medium Grid 3 Accent 6"/>
    <w:basedOn w:val="645"/>
    <w:uiPriority w:val="0"/>
    <w:qFormat/>
    <w:rPr>
      <w:rFonts w:ascii="Times New Roman" w:hAnsi="Times New Roman" w:eastAsia="宋体"/>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fde4d0"/>
    </w:tcPr>
    <w:tblStylePr w:type="band1Horz">
      <w:tcPr>
        <w:shd w:val="clear" w:color="auto" w:fill="fbcaa2"/>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fbcaa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f79646"/>
        <w:tcBorders>
          <w:top w:val="none" w:color="000000" w:sz="4" w:space="0"/>
          <w:left w:val="none" w:color="000000" w:sz="4" w:space="0"/>
          <w:bottom w:val="single" w:color="CCE8CF" w:sz="8"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f79646"/>
        <w:tcBorders>
          <w:top w:val="single" w:color="CCE8CF" w:sz="8" w:space="0"/>
          <w:left w:val="single" w:color="CCE8CF" w:sz="24" w:space="0"/>
          <w:bottom w:val="single" w:color="CCE8CF" w:sz="8"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f79646"/>
        <w:tcBorders>
          <w:top w:val="none" w:color="000000" w:sz="4" w:space="0"/>
          <w:left w:val="none" w:color="000000" w:sz="4" w:space="0"/>
          <w:bottom w:val="single" w:color="CCE8C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f79646"/>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681">
    <w:name w:val="Strong"/>
    <w:basedOn w:val="644"/>
    <w:uiPriority w:val="0"/>
    <w:qFormat/>
    <w:rPr>
      <w:rFonts w:ascii="Times New Roman" w:hAnsi="Times New Roman" w:eastAsia="宋体" w:cs="Times New Roman"/>
      <w:b/>
    </w:rPr>
  </w:style>
  <w:style w:type="character" w:styleId="682">
    <w:name w:val="endnote reference"/>
    <w:basedOn w:val="644"/>
    <w:uiPriority w:val="0"/>
    <w:qFormat/>
    <w:rPr>
      <w:rFonts w:ascii="Times New Roman" w:hAnsi="Times New Roman" w:eastAsia="宋体" w:cs="Times New Roman"/>
      <w:vertAlign w:val="superscript"/>
    </w:rPr>
  </w:style>
  <w:style w:type="character" w:styleId="683">
    <w:name w:val="FollowedHyperlink"/>
    <w:basedOn w:val="644"/>
    <w:uiPriority w:val="0"/>
    <w:qFormat/>
    <w:rPr>
      <w:rFonts w:ascii="Times New Roman" w:hAnsi="Times New Roman" w:eastAsia="宋体" w:cs="Times New Roman"/>
      <w:color w:val="333333"/>
      <w:u w:val="none"/>
    </w:rPr>
  </w:style>
  <w:style w:type="character" w:styleId="684">
    <w:name w:val="Hyperlink"/>
    <w:uiPriority w:val="0"/>
    <w:qFormat/>
    <w:rPr>
      <w:rFonts w:ascii="Times New Roman" w:hAnsi="Times New Roman" w:eastAsia="宋体" w:cs="Times New Roman"/>
      <w:color w:val="336699"/>
      <w:sz w:val="18"/>
      <w:u w:val="none"/>
    </w:rPr>
  </w:style>
  <w:style w:type="character" w:styleId="685">
    <w:name w:val="annotation reference"/>
    <w:basedOn w:val="644"/>
    <w:uiPriority w:val="0"/>
    <w:qFormat/>
    <w:rPr>
      <w:rFonts w:ascii="Times New Roman" w:hAnsi="Times New Roman" w:eastAsia="宋体" w:cs="Times New Roman"/>
      <w:sz w:val="21"/>
      <w:szCs w:val="21"/>
    </w:rPr>
  </w:style>
  <w:style w:type="character" w:styleId="686">
    <w:name w:val="footnote reference"/>
    <w:basedOn w:val="644"/>
    <w:uiPriority w:val="0"/>
    <w:qFormat/>
    <w:rPr>
      <w:rFonts w:ascii="Times New Roman" w:hAnsi="Times New Roman" w:eastAsia="宋体" w:cs="Times New Roman"/>
      <w:vertAlign w:val="superscript"/>
    </w:rPr>
  </w:style>
  <w:style w:type="character" w:styleId="687" w:customStyle="1">
    <w:name w:val="标题 1 Char"/>
    <w:basedOn w:val="644"/>
    <w:link w:val="635"/>
    <w:uiPriority w:val="0"/>
    <w:qFormat/>
    <w:rPr>
      <w:rFonts w:ascii="Times New Roman" w:hAnsi="Times New Roman" w:eastAsia="宋体" w:cs="Times New Roman"/>
      <w:b/>
      <w:bCs/>
      <w:sz w:val="44"/>
      <w:szCs w:val="44"/>
    </w:rPr>
  </w:style>
  <w:style w:type="character" w:styleId="688" w:customStyle="1">
    <w:name w:val="标题 2 Char"/>
    <w:basedOn w:val="644"/>
    <w:link w:val="636"/>
    <w:uiPriority w:val="0"/>
    <w:qFormat/>
    <w:rPr>
      <w:rFonts w:ascii="Calibri Light" w:hAnsi="Calibri Light" w:eastAsia="Arial" w:cs="Arial"/>
      <w:b/>
      <w:bCs/>
      <w:sz w:val="32"/>
      <w:szCs w:val="32"/>
    </w:rPr>
  </w:style>
  <w:style w:type="character" w:styleId="689" w:customStyle="1">
    <w:name w:val="Heading 3 Char_a9b216b8-bf54-458b-b387-147c628c2a81"/>
    <w:basedOn w:val="644"/>
    <w:link w:val="637"/>
    <w:uiPriority w:val="0"/>
    <w:qFormat/>
    <w:rPr>
      <w:rFonts w:ascii="Arial" w:hAnsi="Arial" w:eastAsia="Arial" w:cs="Arial"/>
      <w:sz w:val="30"/>
      <w:szCs w:val="30"/>
    </w:rPr>
  </w:style>
  <w:style w:type="character" w:styleId="690" w:customStyle="1">
    <w:name w:val="Heading 4 Char_b59364e0-d5ed-4dc1-b6d7-cdc88059b588"/>
    <w:basedOn w:val="644"/>
    <w:link w:val="638"/>
    <w:uiPriority w:val="0"/>
    <w:qFormat/>
    <w:rPr>
      <w:rFonts w:ascii="Arial" w:hAnsi="Arial" w:eastAsia="Arial" w:cs="Arial"/>
      <w:b/>
      <w:bCs/>
      <w:sz w:val="26"/>
      <w:szCs w:val="26"/>
    </w:rPr>
  </w:style>
  <w:style w:type="character" w:styleId="691" w:customStyle="1">
    <w:name w:val="Heading 5 Char_65e270c1-d483-457d-8dc0-82819986679d"/>
    <w:basedOn w:val="644"/>
    <w:link w:val="639"/>
    <w:uiPriority w:val="0"/>
    <w:qFormat/>
    <w:rPr>
      <w:rFonts w:ascii="Arial" w:hAnsi="Arial" w:eastAsia="Arial" w:cs="Arial"/>
      <w:b/>
      <w:bCs/>
      <w:sz w:val="24"/>
      <w:szCs w:val="24"/>
    </w:rPr>
  </w:style>
  <w:style w:type="character" w:styleId="692" w:customStyle="1">
    <w:name w:val="Heading 6 Char_e1e3f1cb-737b-4f5c-88d0-5e1d123f61ac"/>
    <w:basedOn w:val="644"/>
    <w:link w:val="640"/>
    <w:uiPriority w:val="0"/>
    <w:qFormat/>
    <w:rPr>
      <w:rFonts w:ascii="Arial" w:hAnsi="Arial" w:eastAsia="Arial" w:cs="Arial"/>
      <w:b/>
      <w:bCs/>
      <w:sz w:val="22"/>
      <w:szCs w:val="22"/>
    </w:rPr>
  </w:style>
  <w:style w:type="character" w:styleId="693" w:customStyle="1">
    <w:name w:val="Heading 7 Char_50de44a3-68c1-4df3-b0b2-d34005039162"/>
    <w:basedOn w:val="644"/>
    <w:link w:val="641"/>
    <w:uiPriority w:val="0"/>
    <w:qFormat/>
    <w:rPr>
      <w:rFonts w:ascii="Arial" w:hAnsi="Arial" w:eastAsia="Arial" w:cs="Arial"/>
      <w:b/>
      <w:bCs/>
      <w:i/>
      <w:iCs/>
      <w:sz w:val="22"/>
      <w:szCs w:val="22"/>
    </w:rPr>
  </w:style>
  <w:style w:type="character" w:styleId="694" w:customStyle="1">
    <w:name w:val="Heading 8 Char_18f28759-a39c-4025-a777-591394453635"/>
    <w:basedOn w:val="644"/>
    <w:link w:val="642"/>
    <w:uiPriority w:val="0"/>
    <w:qFormat/>
    <w:rPr>
      <w:rFonts w:ascii="Arial" w:hAnsi="Arial" w:eastAsia="Arial" w:cs="Arial"/>
      <w:i/>
      <w:iCs/>
      <w:sz w:val="22"/>
      <w:szCs w:val="22"/>
    </w:rPr>
  </w:style>
  <w:style w:type="character" w:styleId="695" w:customStyle="1">
    <w:name w:val="Heading 9 Char_8bd0dcb3-8880-40de-b698-603d2e08a712"/>
    <w:basedOn w:val="644"/>
    <w:link w:val="643"/>
    <w:uiPriority w:val="0"/>
    <w:qFormat/>
    <w:rPr>
      <w:rFonts w:ascii="Arial" w:hAnsi="Arial" w:eastAsia="Arial" w:cs="Arial"/>
      <w:i/>
      <w:iCs/>
      <w:sz w:val="21"/>
      <w:szCs w:val="21"/>
    </w:rPr>
  </w:style>
  <w:style w:type="character" w:styleId="696" w:customStyle="1">
    <w:name w:val="文档结构图 Char"/>
    <w:basedOn w:val="644"/>
    <w:link w:val="648"/>
    <w:uiPriority w:val="0"/>
    <w:qFormat/>
    <w:rPr>
      <w:rFonts w:ascii="宋体" w:hAnsi="Times New Roman" w:eastAsia="宋体" w:cs="Times New Roman"/>
      <w:sz w:val="18"/>
      <w:szCs w:val="18"/>
    </w:rPr>
  </w:style>
  <w:style w:type="character" w:styleId="697" w:customStyle="1">
    <w:name w:val="批注文字 Char"/>
    <w:basedOn w:val="644"/>
    <w:link w:val="649"/>
    <w:uiPriority w:val="0"/>
    <w:qFormat/>
    <w:rPr>
      <w:rFonts w:ascii="Times New Roman" w:hAnsi="Times New Roman" w:eastAsia="宋体" w:cs="Times New Roman"/>
      <w:sz w:val="24"/>
      <w:szCs w:val="24"/>
    </w:rPr>
  </w:style>
  <w:style w:type="character" w:styleId="698" w:customStyle="1">
    <w:name w:val="正文文本 Char1"/>
    <w:basedOn w:val="644"/>
    <w:link w:val="650"/>
    <w:uiPriority w:val="0"/>
    <w:qFormat/>
    <w:rPr>
      <w:rFonts w:ascii="Times New Roman" w:hAnsi="Times New Roman" w:eastAsia="宋体" w:cs="Times New Roman"/>
      <w:sz w:val="24"/>
      <w:szCs w:val="24"/>
    </w:rPr>
  </w:style>
  <w:style w:type="character" w:styleId="699" w:customStyle="1">
    <w:name w:val="纯文本 Char"/>
    <w:basedOn w:val="644"/>
    <w:link w:val="653"/>
    <w:uiPriority w:val="0"/>
    <w:qFormat/>
    <w:rPr>
      <w:rFonts w:ascii="宋体" w:hAnsi="Courier New" w:eastAsia="宋体" w:cs="Times New Roman"/>
      <w:sz w:val="24"/>
      <w:szCs w:val="20"/>
    </w:rPr>
  </w:style>
  <w:style w:type="character" w:styleId="700" w:customStyle="1">
    <w:name w:val="Endnote Text Char"/>
    <w:link w:val="656"/>
    <w:uiPriority w:val="0"/>
    <w:qFormat/>
    <w:rPr>
      <w:rFonts w:ascii="Times New Roman" w:hAnsi="Times New Roman" w:eastAsia="宋体" w:cs="Times New Roman"/>
      <w:sz w:val="20"/>
    </w:rPr>
  </w:style>
  <w:style w:type="character" w:styleId="701" w:customStyle="1">
    <w:name w:val="批注框文本 Char"/>
    <w:basedOn w:val="644"/>
    <w:link w:val="657"/>
    <w:uiPriority w:val="0"/>
    <w:qFormat/>
    <w:rPr>
      <w:rFonts w:ascii="Times New Roman" w:hAnsi="Times New Roman" w:eastAsia="宋体" w:cs="Times New Roman"/>
      <w:sz w:val="18"/>
      <w:szCs w:val="18"/>
    </w:rPr>
  </w:style>
  <w:style w:type="character" w:styleId="702" w:customStyle="1">
    <w:name w:val="页脚 Char"/>
    <w:basedOn w:val="644"/>
    <w:link w:val="658"/>
    <w:uiPriority w:val="0"/>
    <w:qFormat/>
    <w:rPr>
      <w:rFonts w:ascii="Times New Roman" w:hAnsi="Times New Roman" w:eastAsia="宋体" w:cs="Times New Roman"/>
      <w:sz w:val="18"/>
      <w:szCs w:val="18"/>
    </w:rPr>
  </w:style>
  <w:style w:type="character" w:styleId="703" w:customStyle="1">
    <w:name w:val="页眉 Char"/>
    <w:basedOn w:val="644"/>
    <w:link w:val="659"/>
    <w:uiPriority w:val="0"/>
    <w:qFormat/>
    <w:rPr>
      <w:rFonts w:ascii="Times New Roman" w:hAnsi="Times New Roman" w:eastAsia="宋体" w:cs="Times New Roman"/>
      <w:sz w:val="18"/>
      <w:szCs w:val="18"/>
    </w:rPr>
  </w:style>
  <w:style w:type="character" w:styleId="704" w:customStyle="1">
    <w:name w:val="Subtitle Char"/>
    <w:basedOn w:val="644"/>
    <w:link w:val="662"/>
    <w:uiPriority w:val="0"/>
    <w:qFormat/>
    <w:rPr>
      <w:rFonts w:ascii="Times New Roman" w:hAnsi="Times New Roman" w:eastAsia="宋体" w:cs="Times New Roman"/>
      <w:sz w:val="24"/>
      <w:szCs w:val="24"/>
    </w:rPr>
  </w:style>
  <w:style w:type="character" w:styleId="705" w:customStyle="1">
    <w:name w:val="Footnote Text Char"/>
    <w:link w:val="663"/>
    <w:uiPriority w:val="0"/>
    <w:qFormat/>
    <w:rPr>
      <w:rFonts w:ascii="Times New Roman" w:hAnsi="Times New Roman" w:eastAsia="宋体" w:cs="Times New Roman"/>
      <w:sz w:val="18"/>
    </w:rPr>
  </w:style>
  <w:style w:type="character" w:styleId="706" w:customStyle="1">
    <w:name w:val="正文文本缩进 3 Char1"/>
    <w:basedOn w:val="644"/>
    <w:link w:val="665"/>
    <w:uiPriority w:val="0"/>
    <w:qFormat/>
    <w:rPr>
      <w:rFonts w:ascii="Arial" w:hAnsi="Arial" w:eastAsia="仿宋_GB2312" w:cs="Times New Roman"/>
      <w:color w:val="ffff00"/>
      <w:sz w:val="32"/>
      <w:szCs w:val="20"/>
    </w:rPr>
  </w:style>
  <w:style w:type="character" w:styleId="707" w:customStyle="1">
    <w:name w:val="Title Char_6f9859c7-e2e7-4fc0-9c1b-fce9cc378762"/>
    <w:basedOn w:val="644"/>
    <w:link w:val="670"/>
    <w:uiPriority w:val="0"/>
    <w:qFormat/>
    <w:rPr>
      <w:rFonts w:ascii="Times New Roman" w:hAnsi="Times New Roman" w:eastAsia="宋体" w:cs="Times New Roman"/>
      <w:sz w:val="48"/>
      <w:szCs w:val="48"/>
    </w:rPr>
  </w:style>
  <w:style w:type="character" w:styleId="708" w:customStyle="1">
    <w:name w:val="批注主题 Char"/>
    <w:basedOn w:val="697"/>
    <w:link w:val="671"/>
    <w:uiPriority w:val="0"/>
    <w:qFormat/>
    <w:rPr>
      <w:rFonts w:ascii="Times New Roman" w:hAnsi="Times New Roman" w:eastAsia="宋体" w:cs="Times New Roman"/>
      <w:b/>
      <w:bCs/>
      <w:sz w:val="24"/>
      <w:szCs w:val="24"/>
    </w:rPr>
  </w:style>
  <w:style w:type="paragraph" w:styleId="709"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710" w:customStyle="1">
    <w:name w:val="WPS Plain"/>
    <w:uiPriority w:val="0"/>
    <w:qFormat/>
    <w:rPr>
      <w:rFonts w:hint="default" w:ascii="Times New Roman" w:hAnsi="Times New Roman" w:eastAsia="宋体" w:cs="Times New Roman"/>
      <w:lang w:val="en-US" w:eastAsia="zh-CN" w:bidi="ar-SA"/>
    </w:rPr>
  </w:style>
  <w:style w:type="paragraph" w:styleId="711">
    <w:name w:val="List Paragraph"/>
    <w:basedOn w:val="634"/>
    <w:uiPriority w:val="0"/>
    <w:qFormat/>
    <w:pPr>
      <w:ind w:firstLine="420"/>
      <w:jc w:val="both"/>
      <w:spacing w:after="0"/>
      <w:widowControl w:val="off"/>
    </w:pPr>
    <w:rPr>
      <w:rFonts w:ascii="Times New Roman" w:hAnsi="Times New Roman" w:eastAsia="Times New Roman" w:cs="Times New Roman"/>
      <w:sz w:val="24"/>
      <w:szCs w:val="24"/>
      <w:lang w:val="en-US" w:eastAsia="zh-CN" w:bidi="ar-SA"/>
    </w:rPr>
  </w:style>
  <w:style w:type="character" w:styleId="712" w:customStyle="1">
    <w:name w:val="Heading 1 Char_2c6a9e7d-8fb6-41f0-ab97-3c4b3a529362"/>
    <w:basedOn w:val="644"/>
    <w:uiPriority w:val="0"/>
    <w:qFormat/>
    <w:rPr>
      <w:rFonts w:ascii="Arial" w:hAnsi="Arial" w:eastAsia="Arial" w:cs="Arial"/>
      <w:sz w:val="40"/>
      <w:szCs w:val="40"/>
    </w:rPr>
  </w:style>
  <w:style w:type="character" w:styleId="713" w:customStyle="1">
    <w:name w:val="Heading 2 Char_b3c263ad-609e-4410-9c59-906d5cae4b57"/>
    <w:basedOn w:val="644"/>
    <w:uiPriority w:val="0"/>
    <w:qFormat/>
    <w:rPr>
      <w:rFonts w:ascii="Arial" w:hAnsi="Arial" w:eastAsia="Arial" w:cs="Arial"/>
      <w:sz w:val="34"/>
    </w:rPr>
  </w:style>
  <w:style w:type="paragraph" w:styleId="714">
    <w:name w:val="No Spacing"/>
    <w:uiPriority w:val="0"/>
    <w:qFormat/>
    <w:pPr>
      <w:spacing w:before="0" w:after="0" w:line="240" w:lineRule="auto"/>
    </w:pPr>
    <w:rPr>
      <w:rFonts w:hint="default" w:ascii="Times New Roman" w:hAnsi="Times New Roman" w:eastAsia="宋体" w:cs="Times New Roman"/>
    </w:rPr>
  </w:style>
  <w:style w:type="character" w:styleId="715" w:customStyle="1">
    <w:name w:val="Quote Char_cc0a6e4d-c12d-445f-8a70-4f5f6c17c00b"/>
    <w:link w:val="716"/>
    <w:uiPriority w:val="0"/>
    <w:qFormat/>
    <w:rPr>
      <w:rFonts w:ascii="Times New Roman" w:hAnsi="Times New Roman" w:eastAsia="宋体" w:cs="Times New Roman"/>
      <w:i/>
    </w:rPr>
  </w:style>
  <w:style w:type="paragraph" w:styleId="716">
    <w:name w:val="Quote"/>
    <w:basedOn w:val="634"/>
    <w:next w:val="634"/>
    <w:link w:val="715"/>
    <w:uiPriority w:val="0"/>
    <w:qFormat/>
    <w:pPr>
      <w:ind w:left="720" w:right="720"/>
    </w:pPr>
    <w:rPr>
      <w:rFonts w:ascii="Times New Roman" w:hAnsi="Times New Roman" w:eastAsia="宋体" w:cs="Times New Roman"/>
      <w:i/>
    </w:rPr>
  </w:style>
  <w:style w:type="character" w:styleId="717" w:customStyle="1">
    <w:name w:val="Intense Quote Char_e574a8f7-d888-4b7d-8c4c-51d5ba965287"/>
    <w:link w:val="718"/>
    <w:uiPriority w:val="0"/>
    <w:qFormat/>
    <w:rPr>
      <w:rFonts w:ascii="Times New Roman" w:hAnsi="Times New Roman" w:eastAsia="宋体" w:cs="Times New Roman"/>
      <w:i/>
    </w:rPr>
  </w:style>
  <w:style w:type="paragraph" w:styleId="718">
    <w:name w:val="Intense Quote"/>
    <w:basedOn w:val="634"/>
    <w:next w:val="634"/>
    <w:link w:val="71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719" w:customStyle="1">
    <w:name w:val="Header Char_0d925369-ca41-4946-bcdb-d109485ae1d5"/>
    <w:basedOn w:val="644"/>
    <w:uiPriority w:val="0"/>
    <w:qFormat/>
    <w:rPr>
      <w:rFonts w:ascii="Times New Roman" w:hAnsi="Times New Roman" w:eastAsia="宋体" w:cs="Times New Roman"/>
    </w:rPr>
  </w:style>
  <w:style w:type="character" w:styleId="720" w:customStyle="1">
    <w:name w:val="Footer Char_6c612275-b2b1-46fc-b9b6-149cfbd3ef6d"/>
    <w:basedOn w:val="644"/>
    <w:uiPriority w:val="0"/>
    <w:qFormat/>
    <w:rPr>
      <w:rFonts w:ascii="Times New Roman" w:hAnsi="Times New Roman" w:eastAsia="宋体" w:cs="Times New Roman"/>
    </w:rPr>
  </w:style>
  <w:style w:type="character" w:styleId="721" w:customStyle="1">
    <w:name w:val="Caption Char"/>
    <w:uiPriority w:val="0"/>
    <w:qFormat/>
    <w:rPr>
      <w:rFonts w:ascii="Times New Roman" w:hAnsi="Times New Roman" w:eastAsia="宋体" w:cs="Times New Roman"/>
    </w:rPr>
  </w:style>
  <w:style w:type="table" w:styleId="722" w:customStyle="1">
    <w:name w:val="Table Grid Light"/>
    <w:basedOn w:val="645"/>
    <w:uiPriority w:val="0"/>
    <w:qFormat/>
    <w:pPr>
      <w:spacing w:after="0" w:line="240" w:lineRule="auto"/>
    </w:pPr>
    <w:rPr>
      <w:rFonts w:ascii="Times New Roman" w:hAnsi="Times New Roman" w:eastAsia="宋体" w:cs="Times New Roman"/>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23" w:customStyle="1">
    <w:name w:val="Plain Table 1"/>
    <w:basedOn w:val="645"/>
    <w:uiPriority w:val="0"/>
    <w:qFormat/>
    <w:pPr>
      <w:spacing w:after="0" w:line="240" w:lineRule="auto"/>
    </w:pPr>
    <w:rPr>
      <w:rFonts w:ascii="Times New Roman" w:hAnsi="Times New Roman" w:eastAsia="宋体" w:cs="Times New Roman"/>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style>
  <w:style w:type="table" w:styleId="724" w:customStyle="1">
    <w:name w:val="Plain Table 2"/>
    <w:basedOn w:val="645"/>
    <w:uiPriority w:val="0"/>
    <w:qFormat/>
    <w:pPr>
      <w:spacing w:after="0" w:line="240" w:lineRule="auto"/>
    </w:pPr>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firstRow">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style>
  <w:style w:type="table" w:styleId="725" w:customStyle="1">
    <w:name w:val="Plain Table 3"/>
    <w:basedOn w:val="645"/>
    <w:uiPriority w:val="0"/>
    <w:qFormat/>
    <w:pPr>
      <w:spacing w:after="0" w:line="240" w:lineRule="auto"/>
    </w:pPr>
    <w:rPr>
      <w:rFonts w:ascii="Times New Roman" w:hAnsi="Times New Roman" w:eastAsia="宋体" w:cs="Times New Roman"/>
    </w:rPr>
    <w:tblPr/>
    <w:tblStylePr w:type="band1Horz">
      <w:tcPr>
        <w:shd w:val="clear" w:color="f1f1f1" w:fill="f1f1f1"/>
      </w:tcPr>
    </w:tblStylePr>
    <w:tblStylePr w:type="band1Vert">
      <w:tcPr>
        <w:shd w:val="clear" w:color="f1f1f1" w:fill="f1f1f1"/>
      </w:tcPr>
    </w:tblStylePr>
    <w:tblStylePr w:type="firstCol">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style>
  <w:style w:type="table" w:styleId="726" w:customStyle="1">
    <w:name w:val="Plain Table 4"/>
    <w:basedOn w:val="645"/>
    <w:uiPriority w:val="0"/>
    <w:qFormat/>
    <w:pPr>
      <w:spacing w:after="0" w:line="240" w:lineRule="auto"/>
    </w:pPr>
    <w:rPr>
      <w:rFonts w:ascii="Times New Roman" w:hAnsi="Times New Roman" w:eastAsia="宋体" w:cs="Times New Roman"/>
    </w:rPr>
    <w:tblPr/>
    <w:tblStylePr w:type="band1Horz">
      <w:tcPr>
        <w:shd w:val="clear" w:color="f1f1f1" w:fill="f1f1f1"/>
      </w:tcPr>
    </w:tblStylePr>
    <w:tblStylePr w:type="band1Vert">
      <w:tcPr>
        <w:shd w:val="clear" w:color="f1f1f1" w:fill="f1f1f1"/>
      </w:tcPr>
    </w:tblStylePr>
  </w:style>
  <w:style w:type="table" w:styleId="727" w:customStyle="1">
    <w:name w:val="Plain Table 5"/>
    <w:basedOn w:val="645"/>
    <w:uiPriority w:val="0"/>
    <w:qFormat/>
    <w:pPr>
      <w:spacing w:after="0" w:line="240" w:lineRule="auto"/>
    </w:pPr>
    <w:rPr>
      <w:rFonts w:ascii="Times New Roman" w:hAnsi="Times New Roman" w:eastAsia="宋体" w:cs="Times New Roman"/>
    </w:rPr>
    <w:tblPr/>
    <w:tblStylePr w:type="band1Horz">
      <w:tcPr>
        <w:shd w:val="clear" w:color="f1f1f1" w:fill="f1f1f1"/>
      </w:tcPr>
    </w:tblStylePr>
    <w:tblStylePr w:type="band1Vert">
      <w:tcPr>
        <w:shd w:val="clear" w:color="f1f1f1" w:fill="f1f1f1"/>
      </w:tcPr>
    </w:tblStylePr>
    <w:tblStylePr w:type="firstCol">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28" w:customStyle="1">
    <w:name w:val="Grid Table 1 Light"/>
    <w:basedOn w:val="645"/>
    <w:uiPriority w:val="0"/>
    <w:qFormat/>
    <w:pPr>
      <w:spacing w:after="0" w:line="240" w:lineRule="auto"/>
    </w:pPr>
    <w:rPr>
      <w:rFonts w:ascii="Times New Roman" w:hAnsi="Times New Roman" w:eastAsia="宋体" w:cs="Times New Roman"/>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Row">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style>
  <w:style w:type="table" w:styleId="729" w:customStyle="1">
    <w:name w:val="Grid Table 1 Light - Accent 1"/>
    <w:basedOn w:val="645"/>
    <w:uiPriority w:val="0"/>
    <w:qFormat/>
    <w:pPr>
      <w:spacing w:after="0" w:line="240" w:lineRule="auto"/>
    </w:pPr>
    <w:rPr>
      <w:rFonts w:ascii="Times New Roman" w:hAnsi="Times New Roman" w:eastAsia="宋体" w:cs="Times New Roman"/>
    </w:r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Row">
      <w:tcPr>
        <w:tcBorders>
          <w:top w:val="none" w:color="000000" w:sz="4" w:space="0"/>
          <w:left w:val="single" w:color="9FC4E6" w:sz="12" w:space="0"/>
          <w:bottom w:val="none" w:color="000000" w:sz="4" w:space="0"/>
          <w:right w:val="none" w:color="000000" w:sz="4" w:space="0"/>
          <w:insideH w:val="none" w:color="000000" w:sz="4" w:space="0"/>
          <w:insideV w:val="none" w:color="000000" w:sz="4" w:space="0"/>
        </w:tcBorders>
      </w:tcPr>
    </w:tblStylePr>
  </w:style>
  <w:style w:type="table" w:styleId="730" w:customStyle="1">
    <w:name w:val="Grid Table 1 Light - Accent 2"/>
    <w:basedOn w:val="645"/>
    <w:uiPriority w:val="0"/>
    <w:qFormat/>
    <w:pPr>
      <w:spacing w:after="0" w:line="240" w:lineRule="auto"/>
    </w:pPr>
    <w:rPr>
      <w:rFonts w:ascii="Times New Roman" w:hAnsi="Times New Roman" w:eastAsia="宋体" w:cs="Times New Roman"/>
    </w:r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Row">
      <w:tcPr>
        <w:tcBorders>
          <w:top w:val="none" w:color="000000" w:sz="4" w:space="0"/>
          <w:left w:val="single" w:color="F4B386" w:sz="12" w:space="0"/>
          <w:bottom w:val="none" w:color="000000" w:sz="4" w:space="0"/>
          <w:right w:val="none" w:color="000000" w:sz="4" w:space="0"/>
          <w:insideH w:val="none" w:color="000000" w:sz="4" w:space="0"/>
          <w:insideV w:val="none" w:color="000000" w:sz="4" w:space="0"/>
        </w:tcBorders>
      </w:tcPr>
    </w:tblStylePr>
  </w:style>
  <w:style w:type="table" w:styleId="731" w:customStyle="1">
    <w:name w:val="Grid Table 1 Light - Accent 3"/>
    <w:basedOn w:val="645"/>
    <w:uiPriority w:val="0"/>
    <w:qFormat/>
    <w:pPr>
      <w:spacing w:after="0" w:line="240" w:lineRule="auto"/>
    </w:pPr>
    <w:rPr>
      <w:rFonts w:ascii="Times New Roman" w:hAnsi="Times New Roman" w:eastAsia="宋体" w:cs="Times New Roman"/>
    </w:r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Row">
      <w:tcPr>
        <w:tcBorders>
          <w:top w:val="none" w:color="000000" w:sz="4" w:space="0"/>
          <w:left w:val="single" w:color="CACACA" w:sz="12" w:space="0"/>
          <w:bottom w:val="none" w:color="000000" w:sz="4" w:space="0"/>
          <w:right w:val="none" w:color="000000" w:sz="4" w:space="0"/>
          <w:insideH w:val="none" w:color="000000" w:sz="4" w:space="0"/>
          <w:insideV w:val="none" w:color="000000" w:sz="4" w:space="0"/>
        </w:tcBorders>
      </w:tcPr>
    </w:tblStylePr>
  </w:style>
  <w:style w:type="table" w:styleId="732" w:customStyle="1">
    <w:name w:val="Grid Table 1 Light - Accent 4"/>
    <w:basedOn w:val="645"/>
    <w:uiPriority w:val="0"/>
    <w:qFormat/>
    <w:pPr>
      <w:spacing w:after="0" w:line="240" w:lineRule="auto"/>
    </w:pPr>
    <w:rPr>
      <w:rFonts w:ascii="Times New Roman" w:hAnsi="Times New Roman" w:eastAsia="宋体" w:cs="Times New Roman"/>
    </w:rPr>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Row">
      <w:tcPr>
        <w:tcBorders>
          <w:top w:val="none" w:color="000000" w:sz="4" w:space="0"/>
          <w:left w:val="single" w:color="FFDA69" w:sz="12" w:space="0"/>
          <w:bottom w:val="none" w:color="000000" w:sz="4" w:space="0"/>
          <w:right w:val="none" w:color="000000" w:sz="4" w:space="0"/>
          <w:insideH w:val="none" w:color="000000" w:sz="4" w:space="0"/>
          <w:insideV w:val="none" w:color="000000" w:sz="4" w:space="0"/>
        </w:tcBorders>
      </w:tcPr>
    </w:tblStylePr>
  </w:style>
  <w:style w:type="table" w:styleId="733" w:customStyle="1">
    <w:name w:val="Grid Table 1 Light - Accent 5"/>
    <w:basedOn w:val="645"/>
    <w:uiPriority w:val="0"/>
    <w:qFormat/>
    <w:pPr>
      <w:spacing w:after="0" w:line="240" w:lineRule="auto"/>
    </w:pPr>
    <w:rPr>
      <w:rFonts w:ascii="Times New Roman" w:hAnsi="Times New Roman" w:eastAsia="宋体" w:cs="Times New Roman"/>
    </w:rPr>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Row">
      <w:tcPr>
        <w:tcBorders>
          <w:top w:val="none" w:color="000000" w:sz="4" w:space="0"/>
          <w:left w:val="single" w:color="91ACDC" w:sz="12" w:space="0"/>
          <w:bottom w:val="none" w:color="000000" w:sz="4" w:space="0"/>
          <w:right w:val="none" w:color="000000" w:sz="4" w:space="0"/>
          <w:insideH w:val="none" w:color="000000" w:sz="4" w:space="0"/>
          <w:insideV w:val="none" w:color="000000" w:sz="4" w:space="0"/>
        </w:tcBorders>
      </w:tcPr>
    </w:tblStylePr>
  </w:style>
  <w:style w:type="table" w:styleId="734" w:customStyle="1">
    <w:name w:val="Grid Table 1 Light - Accent 6"/>
    <w:basedOn w:val="645"/>
    <w:uiPriority w:val="0"/>
    <w:qFormat/>
    <w:pPr>
      <w:spacing w:after="0" w:line="240" w:lineRule="auto"/>
    </w:pPr>
    <w:rPr>
      <w:rFonts w:ascii="Times New Roman" w:hAnsi="Times New Roman" w:eastAsia="宋体" w:cs="Times New Roman"/>
    </w:r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Row">
      <w:tcPr>
        <w:tcBorders>
          <w:top w:val="none" w:color="000000" w:sz="4" w:space="0"/>
          <w:left w:val="single" w:color="AAD190" w:sz="12" w:space="0"/>
          <w:bottom w:val="none" w:color="000000" w:sz="4" w:space="0"/>
          <w:right w:val="none" w:color="000000" w:sz="4" w:space="0"/>
          <w:insideH w:val="none" w:color="000000" w:sz="4" w:space="0"/>
          <w:insideV w:val="none" w:color="000000" w:sz="4" w:space="0"/>
        </w:tcBorders>
      </w:tcPr>
    </w:tblStylePr>
  </w:style>
  <w:style w:type="table" w:styleId="735" w:customStyle="1">
    <w:name w:val="Grid Table 2"/>
    <w:basedOn w:val="645"/>
    <w:uiPriority w:val="0"/>
    <w:qFormat/>
    <w:pPr>
      <w:spacing w:after="0" w:line="240" w:lineRule="auto"/>
    </w:pPr>
    <w:rPr>
      <w:rFonts w:ascii="Times New Roman" w:hAnsi="Times New Roman" w:eastAsia="宋体" w:cs="Times New Roman"/>
    </w:rPr>
    <w:tblPr>
      <w:tblBorders>
        <w:bottom w:val="single" w:color="696969" w:sz="4" w:space="0"/>
        <w:insideH w:val="single" w:color="696969" w:sz="4" w:space="0"/>
        <w:insideV w:val="single" w:color="696969" w:sz="4" w:space="0"/>
      </w:tblBorders>
    </w:tblPr>
    <w:tblStylePr w:type="band1Horz">
      <w:tcPr>
        <w:shd w:val="clear" w:color="cacaca" w:fill="cacaca"/>
      </w:tcPr>
    </w:tblStylePr>
    <w:tblStylePr w:type="band1Vert">
      <w:tcPr>
        <w:shd w:val="clear" w:color="cacaca" w:fill="cacaca"/>
      </w:tcPr>
    </w:tblStylePr>
    <w:tblStylePr w:type="firstRow">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6" w:customStyle="1">
    <w:name w:val="Grid Table 2 - Accent 1"/>
    <w:basedOn w:val="645"/>
    <w:uiPriority w:val="0"/>
    <w:qFormat/>
    <w:pPr>
      <w:spacing w:after="0" w:line="240" w:lineRule="auto"/>
    </w:pPr>
    <w:rPr>
      <w:rFonts w:ascii="Times New Roman" w:hAnsi="Times New Roman" w:eastAsia="宋体" w:cs="Times New Roman"/>
    </w:rPr>
    <w:tblPr>
      <w:tblBorders>
        <w:bottom w:val="single" w:color="68A3D8" w:sz="4" w:space="0"/>
        <w:insideH w:val="single" w:color="68A3D8" w:sz="4" w:space="0"/>
        <w:insideV w:val="single" w:color="68A3D8" w:sz="4" w:space="0"/>
      </w:tblBorders>
    </w:tblPr>
    <w:tblStylePr w:type="band1Horz">
      <w:tcPr>
        <w:shd w:val="clear" w:color="ddeaf6" w:fill="ddeaf6"/>
      </w:tcPr>
    </w:tblStylePr>
    <w:tblStylePr w:type="band1Vert">
      <w:tcPr>
        <w:shd w:val="clear" w:color="ddeaf6" w:fill="ddeaf6"/>
      </w:tcPr>
    </w:tblStylePr>
    <w:tblStylePr w:type="firstRow">
      <w:tcPr>
        <w:shd w:val="clear" w:color="ffffff" w:fill="auto"/>
        <w:tcBorders>
          <w:top w:val="none" w:color="000000" w:sz="4" w:space="0"/>
          <w:left w:val="single" w:color="68A3D8"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7" w:customStyle="1">
    <w:name w:val="Grid Table 2 - Accent 2"/>
    <w:basedOn w:val="645"/>
    <w:uiPriority w:val="0"/>
    <w:qFormat/>
    <w:pPr>
      <w:spacing w:after="0" w:line="240" w:lineRule="auto"/>
    </w:pPr>
    <w:rPr>
      <w:rFonts w:ascii="Times New Roman" w:hAnsi="Times New Roman" w:eastAsia="宋体" w:cs="Times New Roman"/>
    </w:rPr>
    <w:tblPr>
      <w:tblBorders>
        <w:bottom w:val="single" w:color="F4B285" w:sz="4" w:space="0"/>
        <w:insideH w:val="single" w:color="F4B285" w:sz="4" w:space="0"/>
        <w:insideV w:val="single" w:color="F4B285" w:sz="4" w:space="0"/>
      </w:tblBorders>
    </w:tblPr>
    <w:tblStylePr w:type="band1Horz">
      <w:tcPr>
        <w:shd w:val="clear" w:color="fbe5d6" w:fill="fbe5d6"/>
      </w:tcPr>
    </w:tblStylePr>
    <w:tblStylePr w:type="band1Vert">
      <w:tcPr>
        <w:shd w:val="clear" w:color="fbe5d6" w:fill="fbe5d6"/>
      </w:tcPr>
    </w:tblStylePr>
    <w:tblStylePr w:type="firstRow">
      <w:tcPr>
        <w:shd w:val="clear" w:color="ffffff" w:fill="auto"/>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8" w:customStyle="1">
    <w:name w:val="Grid Table 2 - Accent 3"/>
    <w:basedOn w:val="645"/>
    <w:uiPriority w:val="0"/>
    <w:qFormat/>
    <w:pPr>
      <w:spacing w:after="0" w:line="240" w:lineRule="auto"/>
    </w:pPr>
    <w:rPr>
      <w:rFonts w:ascii="Times New Roman" w:hAnsi="Times New Roman" w:eastAsia="宋体" w:cs="Times New Roman"/>
    </w:rPr>
    <w:tblPr>
      <w:tblBorders>
        <w:bottom w:val="single" w:color="A5A5A5" w:sz="4" w:space="0"/>
        <w:insideH w:val="single" w:color="A5A5A5" w:sz="4" w:space="0"/>
        <w:insideV w:val="single" w:color="A5A5A5" w:sz="4" w:space="0"/>
      </w:tblBorders>
    </w:tblPr>
    <w:tblStylePr w:type="band1Horz">
      <w:tcPr>
        <w:shd w:val="clear" w:color="ececec" w:fill="ececec"/>
      </w:tcPr>
    </w:tblStylePr>
    <w:tblStylePr w:type="band1Vert">
      <w:tcPr>
        <w:shd w:val="clear" w:color="ececec" w:fill="ececec"/>
      </w:tcPr>
    </w:tblStylePr>
    <w:tblStylePr w:type="firstRow">
      <w:tcPr>
        <w:shd w:val="clear" w:color="ffffff" w:fill="auto"/>
        <w:tcBorders>
          <w:top w:val="none" w:color="000000" w:sz="4" w:space="0"/>
          <w:left w:val="single" w:color="A5A5A5"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9" w:customStyle="1">
    <w:name w:val="Grid Table 2 - Accent 4"/>
    <w:basedOn w:val="645"/>
    <w:uiPriority w:val="0"/>
    <w:qFormat/>
    <w:pPr>
      <w:spacing w:after="0" w:line="240" w:lineRule="auto"/>
    </w:pPr>
    <w:rPr>
      <w:rFonts w:ascii="Times New Roman" w:hAnsi="Times New Roman" w:eastAsia="宋体" w:cs="Times New Roman"/>
    </w:rPr>
    <w:tblPr>
      <w:tblBorders>
        <w:bottom w:val="single" w:color="FFD864" w:sz="4" w:space="0"/>
        <w:insideH w:val="single" w:color="FFD864" w:sz="4" w:space="0"/>
        <w:insideV w:val="single" w:color="FFD864" w:sz="4" w:space="0"/>
      </w:tblBorders>
    </w:tblPr>
    <w:tblStylePr w:type="band1Horz">
      <w:tcPr>
        <w:shd w:val="clear" w:color="fef2ca" w:fill="fef2ca"/>
      </w:tcPr>
    </w:tblStylePr>
    <w:tblStylePr w:type="band1Vert">
      <w:tcPr>
        <w:shd w:val="clear" w:color="fef2ca" w:fill="fef2ca"/>
      </w:tcPr>
    </w:tblStylePr>
    <w:tblStylePr w:type="firstRow">
      <w:tcPr>
        <w:shd w:val="clear" w:color="ffffff" w:fill="auto"/>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0" w:customStyle="1">
    <w:name w:val="Grid Table 2 - Accent 5"/>
    <w:basedOn w:val="645"/>
    <w:uiPriority w:val="0"/>
    <w:qFormat/>
    <w:pPr>
      <w:spacing w:after="0" w:line="240" w:lineRule="auto"/>
    </w:pPr>
    <w:rPr>
      <w:rFonts w:ascii="Times New Roman" w:hAnsi="Times New Roman" w:eastAsia="宋体" w:cs="Times New Roman"/>
    </w:rPr>
    <w:tblPr>
      <w:tblBorders>
        <w:bottom w:val="single" w:color="4472C4" w:sz="4" w:space="0"/>
        <w:insideH w:val="single" w:color="4472C4" w:sz="4" w:space="0"/>
        <w:insideV w:val="single" w:color="4472C4" w:sz="4" w:space="0"/>
      </w:tblBorders>
    </w:tblPr>
    <w:tblStylePr w:type="band1Horz">
      <w:tcPr>
        <w:shd w:val="clear" w:color="d8e2f2" w:fill="d8e2f2"/>
      </w:tcPr>
    </w:tblStylePr>
    <w:tblStylePr w:type="band1Vert">
      <w:tcPr>
        <w:shd w:val="clear" w:color="d8e2f2" w:fill="d8e2f2"/>
      </w:tcPr>
    </w:tblStylePr>
    <w:tblStylePr w:type="firstRow">
      <w:tcPr>
        <w:shd w:val="clear" w:color="ffffff" w:fill="auto"/>
        <w:tcBorders>
          <w:top w:val="none" w:color="000000" w:sz="4" w:space="0"/>
          <w:left w:val="single" w:color="4472C4"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1" w:customStyle="1">
    <w:name w:val="Grid Table 2 - Accent 6"/>
    <w:basedOn w:val="645"/>
    <w:uiPriority w:val="0"/>
    <w:qFormat/>
    <w:pPr>
      <w:spacing w:after="0" w:line="240" w:lineRule="auto"/>
    </w:pPr>
    <w:rPr>
      <w:rFonts w:ascii="Times New Roman" w:hAnsi="Times New Roman" w:eastAsia="宋体" w:cs="Times New Roman"/>
    </w:rPr>
    <w:tblPr>
      <w:tblBorders>
        <w:bottom w:val="single" w:color="70AD47" w:sz="4" w:space="0"/>
        <w:insideH w:val="single" w:color="70AD47" w:sz="4" w:space="0"/>
        <w:insideV w:val="single" w:color="70AD47" w:sz="4" w:space="0"/>
      </w:tblBorders>
    </w:tblPr>
    <w:tblStylePr w:type="band1Horz">
      <w:tcPr>
        <w:shd w:val="clear" w:color="e1efd8" w:fill="e1efd8"/>
      </w:tcPr>
    </w:tblStylePr>
    <w:tblStylePr w:type="band1Vert">
      <w:tcPr>
        <w:shd w:val="clear" w:color="e1efd8" w:fill="e1efd8"/>
      </w:tcPr>
    </w:tblStylePr>
    <w:tblStylePr w:type="firstRow">
      <w:tcPr>
        <w:shd w:val="clear" w:color="ffffff" w:fill="auto"/>
        <w:tcBorders>
          <w:top w:val="none" w:color="000000" w:sz="4" w:space="0"/>
          <w:left w:val="single" w:color="70AD47"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2" w:customStyle="1">
    <w:name w:val="Grid Table 3"/>
    <w:basedOn w:val="645"/>
    <w:uiPriority w:val="0"/>
    <w:qFormat/>
    <w:pPr>
      <w:spacing w:after="0" w:line="240" w:lineRule="auto"/>
    </w:pPr>
    <w:rPr>
      <w:rFonts w:ascii="Times New Roman" w:hAnsi="Times New Roman" w:eastAsia="宋体" w:cs="Times New Roman"/>
    </w:rPr>
    <w:tblPr>
      <w:tblBorders>
        <w:bottom w:val="single" w:color="696969" w:sz="4" w:space="0"/>
        <w:insideH w:val="single" w:color="696969" w:sz="4" w:space="0"/>
        <w:insideV w:val="single" w:color="696969" w:sz="4" w:space="0"/>
      </w:tblBorders>
    </w:tblPr>
    <w:tblStylePr w:type="band1Horz">
      <w:tcPr>
        <w:shd w:val="clear" w:color="cacaca" w:fill="cacaca"/>
      </w:tcPr>
    </w:tblStylePr>
    <w:tblStylePr w:type="band1Vert">
      <w:tcPr>
        <w:shd w:val="clear" w:color="cacaca" w:fill="cacaca"/>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3" w:customStyle="1">
    <w:name w:val="Grid Table 3 - Accent 1"/>
    <w:basedOn w:val="645"/>
    <w:uiPriority w:val="0"/>
    <w:qFormat/>
    <w:pPr>
      <w:spacing w:after="0" w:line="240" w:lineRule="auto"/>
    </w:pPr>
    <w:rPr>
      <w:rFonts w:ascii="Times New Roman" w:hAnsi="Times New Roman" w:eastAsia="宋体" w:cs="Times New Roman"/>
    </w:rPr>
    <w:tblPr>
      <w:tblBorders>
        <w:bottom w:val="single" w:color="68A3D8" w:sz="4" w:space="0"/>
        <w:insideH w:val="single" w:color="68A3D8" w:sz="4" w:space="0"/>
        <w:insideV w:val="single" w:color="68A3D8" w:sz="4" w:space="0"/>
      </w:tblBorders>
    </w:tblPr>
    <w:tblStylePr w:type="band1Horz">
      <w:tcPr>
        <w:shd w:val="clear" w:color="ddeaf6" w:fill="ddeaf6"/>
      </w:tcPr>
    </w:tblStylePr>
    <w:tblStylePr w:type="band1Vert">
      <w:tcPr>
        <w:shd w:val="clear" w:color="ddeaf6" w:fill="ddeaf6"/>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4" w:customStyle="1">
    <w:name w:val="Grid Table 3 - Accent 2"/>
    <w:basedOn w:val="645"/>
    <w:uiPriority w:val="0"/>
    <w:qFormat/>
    <w:pPr>
      <w:spacing w:after="0" w:line="240" w:lineRule="auto"/>
    </w:pPr>
    <w:rPr>
      <w:rFonts w:ascii="Times New Roman" w:hAnsi="Times New Roman" w:eastAsia="宋体" w:cs="Times New Roman"/>
    </w:rPr>
    <w:tblPr>
      <w:tblBorders>
        <w:bottom w:val="single" w:color="F4B285" w:sz="4" w:space="0"/>
        <w:insideH w:val="single" w:color="F4B285" w:sz="4" w:space="0"/>
        <w:insideV w:val="single" w:color="F4B285" w:sz="4" w:space="0"/>
      </w:tblBorders>
    </w:tblPr>
    <w:tblStylePr w:type="band1Horz">
      <w:tcPr>
        <w:shd w:val="clear" w:color="fbe5d6" w:fill="fbe5d6"/>
      </w:tcPr>
    </w:tblStylePr>
    <w:tblStylePr w:type="band1Vert">
      <w:tcPr>
        <w:shd w:val="clear" w:color="fbe5d6" w:fill="fbe5d6"/>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5" w:customStyle="1">
    <w:name w:val="Grid Table 3 - Accent 3"/>
    <w:basedOn w:val="645"/>
    <w:uiPriority w:val="0"/>
    <w:qFormat/>
    <w:pPr>
      <w:spacing w:after="0" w:line="240" w:lineRule="auto"/>
    </w:pPr>
    <w:rPr>
      <w:rFonts w:ascii="Times New Roman" w:hAnsi="Times New Roman" w:eastAsia="宋体" w:cs="Times New Roman"/>
    </w:rPr>
    <w:tblPr>
      <w:tblBorders>
        <w:bottom w:val="single" w:color="A5A5A5" w:sz="4" w:space="0"/>
        <w:insideH w:val="single" w:color="A5A5A5" w:sz="4" w:space="0"/>
        <w:insideV w:val="single" w:color="A5A5A5" w:sz="4" w:space="0"/>
      </w:tblBorders>
    </w:tblPr>
    <w:tblStylePr w:type="band1Horz">
      <w:tcPr>
        <w:shd w:val="clear" w:color="ececec" w:fill="ececec"/>
      </w:tcPr>
    </w:tblStylePr>
    <w:tblStylePr w:type="band1Vert">
      <w:tcPr>
        <w:shd w:val="clear" w:color="ececec" w:fill="ececec"/>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6" w:customStyle="1">
    <w:name w:val="Grid Table 3 - Accent 4"/>
    <w:basedOn w:val="645"/>
    <w:uiPriority w:val="0"/>
    <w:qFormat/>
    <w:pPr>
      <w:spacing w:after="0" w:line="240" w:lineRule="auto"/>
    </w:pPr>
    <w:rPr>
      <w:rFonts w:ascii="Times New Roman" w:hAnsi="Times New Roman" w:eastAsia="宋体" w:cs="Times New Roman"/>
    </w:rPr>
    <w:tblPr>
      <w:tblBorders>
        <w:bottom w:val="single" w:color="FFD864" w:sz="4" w:space="0"/>
        <w:insideH w:val="single" w:color="FFD864" w:sz="4" w:space="0"/>
        <w:insideV w:val="single" w:color="FFD864" w:sz="4" w:space="0"/>
      </w:tblBorders>
    </w:tblPr>
    <w:tblStylePr w:type="band1Horz">
      <w:tcPr>
        <w:shd w:val="clear" w:color="fef2ca" w:fill="fef2ca"/>
      </w:tcPr>
    </w:tblStylePr>
    <w:tblStylePr w:type="band1Vert">
      <w:tcPr>
        <w:shd w:val="clear" w:color="fef2ca" w:fill="fef2ca"/>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7" w:customStyle="1">
    <w:name w:val="Grid Table 3 - Accent 5"/>
    <w:basedOn w:val="645"/>
    <w:uiPriority w:val="0"/>
    <w:qFormat/>
    <w:pPr>
      <w:spacing w:after="0" w:line="240" w:lineRule="auto"/>
    </w:pPr>
    <w:rPr>
      <w:rFonts w:ascii="Times New Roman" w:hAnsi="Times New Roman" w:eastAsia="宋体" w:cs="Times New Roman"/>
    </w:rPr>
    <w:tblPr>
      <w:tblBorders>
        <w:bottom w:val="single" w:color="4472C4" w:sz="4" w:space="0"/>
        <w:insideH w:val="single" w:color="4472C4" w:sz="4" w:space="0"/>
        <w:insideV w:val="single" w:color="4472C4" w:sz="4" w:space="0"/>
      </w:tblBorders>
    </w:tblPr>
    <w:tblStylePr w:type="band1Horz">
      <w:tcPr>
        <w:shd w:val="clear" w:color="d8e2f2" w:fill="d8e2f2"/>
      </w:tcPr>
    </w:tblStylePr>
    <w:tblStylePr w:type="band1Vert">
      <w:tcPr>
        <w:shd w:val="clear" w:color="d8e2f2" w:fill="d8e2f2"/>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8" w:customStyle="1">
    <w:name w:val="Grid Table 3 - Accent 6"/>
    <w:basedOn w:val="645"/>
    <w:uiPriority w:val="0"/>
    <w:qFormat/>
    <w:pPr>
      <w:spacing w:after="0" w:line="240" w:lineRule="auto"/>
    </w:pPr>
    <w:rPr>
      <w:rFonts w:ascii="Times New Roman" w:hAnsi="Times New Roman" w:eastAsia="宋体" w:cs="Times New Roman"/>
    </w:rPr>
    <w:tblPr>
      <w:tblBorders>
        <w:bottom w:val="single" w:color="70AD47" w:sz="4" w:space="0"/>
        <w:insideH w:val="single" w:color="70AD47" w:sz="4" w:space="0"/>
        <w:insideV w:val="single" w:color="70AD47" w:sz="4" w:space="0"/>
      </w:tblBorders>
    </w:tblPr>
    <w:tblStylePr w:type="band1Horz">
      <w:tcPr>
        <w:shd w:val="clear" w:color="e1efd8" w:fill="e1efd8"/>
      </w:tcPr>
    </w:tblStylePr>
    <w:tblStylePr w:type="band1Vert">
      <w:tcPr>
        <w:shd w:val="clear" w:color="e1efd8" w:fill="e1efd8"/>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9" w:customStyle="1">
    <w:name w:val="Grid Table 4"/>
    <w:basedOn w:val="645"/>
    <w:uiPriority w:val="0"/>
    <w:qFormat/>
    <w:pPr>
      <w:spacing w:after="0" w:line="240" w:lineRule="auto"/>
    </w:pPr>
    <w:rPr>
      <w:rFonts w:ascii="Times New Roman" w:hAnsi="Times New Roman" w:eastAsia="宋体" w:cs="Times New Roman"/>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tcPr>
        <w:shd w:val="clear" w:color="cacaca" w:fill="cacaca"/>
      </w:tcPr>
    </w:tblStylePr>
    <w:tblStylePr w:type="band1Vert">
      <w:tcPr>
        <w:shd w:val="clear" w:color="cacaca" w:fill="cacaca"/>
      </w:tcPr>
    </w:tblStylePr>
    <w:tblStylePr w:type="firstRow">
      <w:tcPr>
        <w:shd w:val="clear" w:color="000000" w:fill="000000"/>
        <w:tcBorders>
          <w:top w:val="single" w:color="auto" w:sz="4" w:space="0"/>
          <w:left w:val="single" w:color="auto" w:sz="4" w:space="0"/>
          <w:bottom w:val="single" w:color="auto" w:sz="4" w:space="0"/>
          <w:right w:val="single" w:color="auto" w:sz="4" w:space="0"/>
          <w:insideH w:val="none" w:color="000000" w:sz="4" w:space="0"/>
          <w:insideV w:val="none" w:color="000000" w:sz="4" w:space="0"/>
        </w:tcBorders>
      </w:tcPr>
    </w:tblStylePr>
    <w:tblStylePr w:type="lastRow">
      <w:tcPr>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0" w:customStyle="1">
    <w:name w:val="Grid Table 4 - Accent 1"/>
    <w:basedOn w:val="645"/>
    <w:uiPriority w:val="0"/>
    <w:qFormat/>
    <w:pPr>
      <w:spacing w:after="0" w:line="240" w:lineRule="auto"/>
    </w:pPr>
    <w:rPr>
      <w:rFonts w:ascii="Times New Roman" w:hAnsi="Times New Roman" w:eastAsia="宋体" w:cs="Times New Roman"/>
    </w:rPr>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tcPr>
        <w:shd w:val="clear" w:color="deebf6" w:fill="deebf6"/>
      </w:tcPr>
    </w:tblStylePr>
    <w:tblStylePr w:type="band1Vert">
      <w:tcPr>
        <w:shd w:val="clear" w:color="deebf6" w:fill="deebf6"/>
      </w:tcPr>
    </w:tblStylePr>
    <w:tblStylePr w:type="firstRow">
      <w:tcPr>
        <w:shd w:val="clear" w:color="68a3d8" w:fill="68a3d8"/>
        <w:tcBorders>
          <w:top w:val="single" w:color="68A3D8" w:sz="4" w:space="0"/>
          <w:left w:val="single" w:color="68A3D8" w:sz="4" w:space="0"/>
          <w:bottom w:val="single" w:color="68A3D8" w:sz="4" w:space="0"/>
          <w:right w:val="single" w:color="68A3D8" w:sz="4" w:space="0"/>
          <w:insideH w:val="none" w:color="000000" w:sz="4" w:space="0"/>
          <w:insideV w:val="none" w:color="000000" w:sz="4" w:space="0"/>
        </w:tcBorders>
      </w:tcPr>
    </w:tblStylePr>
    <w:tblStylePr w:type="lastRow">
      <w:tcPr>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1" w:customStyle="1">
    <w:name w:val="Grid Table 4 - Accent 2"/>
    <w:basedOn w:val="645"/>
    <w:uiPriority w:val="0"/>
    <w:qFormat/>
    <w:pPr>
      <w:spacing w:after="0" w:line="240" w:lineRule="auto"/>
    </w:pPr>
    <w:rPr>
      <w:rFonts w:ascii="Times New Roman" w:hAnsi="Times New Roman" w:eastAsia="宋体" w:cs="Times New Roman"/>
    </w:rPr>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tcPr>
        <w:shd w:val="clear" w:color="fbe5d6" w:fill="fbe5d6"/>
      </w:tcPr>
    </w:tblStylePr>
    <w:tblStylePr w:type="band1Vert">
      <w:tcPr>
        <w:shd w:val="clear" w:color="fbe5d6" w:fill="fbe5d6"/>
      </w:tcPr>
    </w:tblStylePr>
    <w:tblStylePr w:type="firstRow">
      <w:tcPr>
        <w:shd w:val="clear" w:color="f4b285" w:fill="f4b285"/>
        <w:tcBorders>
          <w:top w:val="single" w:color="F4B285" w:sz="4" w:space="0"/>
          <w:left w:val="single" w:color="F4B285" w:sz="4" w:space="0"/>
          <w:bottom w:val="single" w:color="F4B285" w:sz="4" w:space="0"/>
          <w:right w:val="single" w:color="F4B285" w:sz="4" w:space="0"/>
          <w:insideH w:val="none" w:color="000000" w:sz="4" w:space="0"/>
          <w:insideV w:val="none" w:color="000000" w:sz="4" w:space="0"/>
        </w:tcBorders>
      </w:tcPr>
    </w:tblStylePr>
    <w:tblStylePr w:type="lastRow">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2" w:customStyle="1">
    <w:name w:val="Grid Table 4 - Accent 3"/>
    <w:basedOn w:val="645"/>
    <w:uiPriority w:val="0"/>
    <w:qFormat/>
    <w:pPr>
      <w:spacing w:after="0" w:line="240" w:lineRule="auto"/>
    </w:pPr>
    <w:rPr>
      <w:rFonts w:ascii="Times New Roman" w:hAnsi="Times New Roman" w:eastAsia="宋体" w:cs="Times New Roman"/>
    </w:rPr>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tcPr>
        <w:shd w:val="clear" w:color="ececec" w:fill="ececec"/>
      </w:tcPr>
    </w:tblStylePr>
    <w:tblStylePr w:type="band1Vert">
      <w:tcPr>
        <w:shd w:val="clear" w:color="ececec" w:fill="ececec"/>
      </w:tcPr>
    </w:tblStylePr>
    <w:tblStylePr w:type="firstRow">
      <w:tcPr>
        <w:shd w:val="clear" w:color="a5a5a5" w:fill="a5a5a5"/>
        <w:tcBorders>
          <w:top w:val="single" w:color="A5A5A5" w:sz="4" w:space="0"/>
          <w:left w:val="single" w:color="A5A5A5" w:sz="4" w:space="0"/>
          <w:bottom w:val="single" w:color="A5A5A5" w:sz="4" w:space="0"/>
          <w:right w:val="single" w:color="A5A5A5" w:sz="4" w:space="0"/>
          <w:insideH w:val="none" w:color="000000" w:sz="4" w:space="0"/>
          <w:insideV w:val="none" w:color="000000" w:sz="4" w:space="0"/>
        </w:tcBorders>
      </w:tcPr>
    </w:tblStylePr>
    <w:tblStylePr w:type="lastRow">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3" w:customStyle="1">
    <w:name w:val="Grid Table 4 - Accent 4"/>
    <w:basedOn w:val="645"/>
    <w:uiPriority w:val="0"/>
    <w:qFormat/>
    <w:pPr>
      <w:spacing w:after="0" w:line="240" w:lineRule="auto"/>
    </w:pPr>
    <w:rPr>
      <w:rFonts w:ascii="Times New Roman" w:hAnsi="Times New Roman" w:eastAsia="宋体" w:cs="Times New Roman"/>
    </w:rPr>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tcPr>
        <w:shd w:val="clear" w:color="fef2ca" w:fill="fef2ca"/>
      </w:tcPr>
    </w:tblStylePr>
    <w:tblStylePr w:type="band1Vert">
      <w:tcPr>
        <w:shd w:val="clear" w:color="fef2ca" w:fill="fef2ca"/>
      </w:tcPr>
    </w:tblStylePr>
    <w:tblStylePr w:type="firstRow">
      <w:tcPr>
        <w:shd w:val="clear" w:color="ffd864" w:fill="ffd864"/>
        <w:tcBorders>
          <w:top w:val="single" w:color="FFD864" w:sz="4" w:space="0"/>
          <w:left w:val="single" w:color="FFD864" w:sz="4" w:space="0"/>
          <w:bottom w:val="single" w:color="FFD864" w:sz="4" w:space="0"/>
          <w:right w:val="single" w:color="FFD864" w:sz="4" w:space="0"/>
          <w:insideH w:val="none" w:color="000000" w:sz="4" w:space="0"/>
          <w:insideV w:val="none" w:color="000000" w:sz="4" w:space="0"/>
        </w:tcBorders>
      </w:tcPr>
    </w:tblStylePr>
    <w:tblStylePr w:type="lastRow">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4" w:customStyle="1">
    <w:name w:val="Grid Table 4 - Accent 5"/>
    <w:basedOn w:val="645"/>
    <w:uiPriority w:val="0"/>
    <w:qFormat/>
    <w:pPr>
      <w:spacing w:after="0" w:line="240" w:lineRule="auto"/>
    </w:pPr>
    <w:rPr>
      <w:rFonts w:ascii="Times New Roman" w:hAnsi="Times New Roman" w:eastAsia="宋体" w:cs="Times New Roman"/>
    </w:rPr>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tcPr>
        <w:shd w:val="clear" w:color="d8e2f2" w:fill="d8e2f2"/>
      </w:tcPr>
    </w:tblStylePr>
    <w:tblStylePr w:type="band1Vert">
      <w:tcPr>
        <w:shd w:val="clear" w:color="d8e2f2" w:fill="d8e2f2"/>
      </w:tcPr>
    </w:tblStylePr>
    <w:tblStylePr w:type="firstRow">
      <w:tcPr>
        <w:shd w:val="clear" w:color="4472c4" w:fill="4472c4"/>
        <w:tcBorders>
          <w:top w:val="single" w:color="4472C4" w:sz="4" w:space="0"/>
          <w:left w:val="single" w:color="4472C4" w:sz="4" w:space="0"/>
          <w:bottom w:val="single" w:color="4472C4" w:sz="4" w:space="0"/>
          <w:right w:val="single" w:color="4472C4" w:sz="4" w:space="0"/>
          <w:insideH w:val="none" w:color="000000" w:sz="4" w:space="0"/>
          <w:insideV w:val="none" w:color="000000" w:sz="4" w:space="0"/>
        </w:tcBorders>
      </w:tcPr>
    </w:tblStylePr>
    <w:tblStylePr w:type="lastRow">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5" w:customStyle="1">
    <w:name w:val="Grid Table 4 - Accent 6"/>
    <w:basedOn w:val="645"/>
    <w:uiPriority w:val="0"/>
    <w:qFormat/>
    <w:pPr>
      <w:spacing w:after="0" w:line="240" w:lineRule="auto"/>
    </w:pPr>
    <w:rPr>
      <w:rFonts w:ascii="Times New Roman" w:hAnsi="Times New Roman" w:eastAsia="宋体" w:cs="Times New Roman"/>
    </w:rPr>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tcPr>
        <w:shd w:val="clear" w:color="e1efd8" w:fill="e1efd8"/>
      </w:tcPr>
    </w:tblStylePr>
    <w:tblStylePr w:type="band1Vert">
      <w:tcPr>
        <w:shd w:val="clear" w:color="e1efd8" w:fill="e1efd8"/>
      </w:tcPr>
    </w:tblStylePr>
    <w:tblStylePr w:type="firstRow">
      <w:tcPr>
        <w:shd w:val="clear" w:color="70ad47" w:fill="70ad47"/>
        <w:tcBorders>
          <w:top w:val="single" w:color="70AD47" w:sz="4" w:space="0"/>
          <w:left w:val="single" w:color="70AD47" w:sz="4" w:space="0"/>
          <w:bottom w:val="single" w:color="70AD47" w:sz="4" w:space="0"/>
          <w:right w:val="single" w:color="70AD47" w:sz="4" w:space="0"/>
          <w:insideH w:val="none" w:color="000000" w:sz="4" w:space="0"/>
          <w:insideV w:val="none" w:color="000000" w:sz="4" w:space="0"/>
        </w:tcBorders>
      </w:tcPr>
    </w:tblStylePr>
    <w:tblStylePr w:type="lastRow">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6" w:customStyle="1">
    <w:name w:val="Grid Table 5 Dark"/>
    <w:basedOn w:val="645"/>
    <w:uiPriority w:val="0"/>
    <w:qFormat/>
    <w:pPr>
      <w:spacing w:after="0" w:line="240" w:lineRule="auto"/>
    </w:pPr>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tcPr>
        <w:shd w:val="clear" w:color="000000" w:fill="000000"/>
      </w:tcPr>
    </w:tblStylePr>
    <w:tblStylePr w:type="firstRow">
      <w:tcPr>
        <w:shd w:val="clear" w:color="000000" w:fill="000000"/>
      </w:tcPr>
    </w:tblStylePr>
    <w:tblStylePr w:type="lastCol">
      <w:tcPr>
        <w:shd w:val="clear" w:color="000000" w:fill="000000"/>
      </w:tcPr>
    </w:tblStylePr>
    <w:tblStylePr w:type="lastRow">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7" w:customStyle="1">
    <w:name w:val="Grid Table 5 Dark- Accent 1"/>
    <w:basedOn w:val="645"/>
    <w:uiPriority w:val="0"/>
    <w:qFormat/>
    <w:pPr>
      <w:spacing w:after="0" w:line="240" w:lineRule="auto"/>
    </w:pPr>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tcPr>
        <w:shd w:val="clear" w:color="5b9bd5" w:fill="5b9bd5"/>
      </w:tcPr>
    </w:tblStylePr>
    <w:tblStylePr w:type="firstRow">
      <w:tcPr>
        <w:shd w:val="clear" w:color="5b9bd5" w:fill="5b9bd5"/>
      </w:tcPr>
    </w:tblStylePr>
    <w:tblStylePr w:type="lastCol">
      <w:tcPr>
        <w:shd w:val="clear" w:color="5b9bd5" w:fill="5b9bd5"/>
      </w:tcPr>
    </w:tblStylePr>
    <w:tblStylePr w:type="lastRow">
      <w:tcPr>
        <w:shd w:val="clear" w:color="5b9bd5" w:fill="5b9bd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8" w:customStyle="1">
    <w:name w:val="Grid Table 5 Dark - Accent 2"/>
    <w:basedOn w:val="645"/>
    <w:uiPriority w:val="0"/>
    <w:qFormat/>
    <w:pPr>
      <w:spacing w:after="0" w:line="240" w:lineRule="auto"/>
    </w:pPr>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tcPr>
        <w:shd w:val="clear" w:color="ed7d31" w:fill="ed7d31"/>
      </w:tcPr>
    </w:tblStylePr>
    <w:tblStylePr w:type="firstRow">
      <w:tcPr>
        <w:shd w:val="clear" w:color="ed7d31" w:fill="ed7d31"/>
      </w:tcPr>
    </w:tblStylePr>
    <w:tblStylePr w:type="lastCol">
      <w:tcPr>
        <w:shd w:val="clear" w:color="ed7d31" w:fill="ed7d31"/>
      </w:tcPr>
    </w:tblStylePr>
    <w:tblStylePr w:type="lastRow">
      <w:tcPr>
        <w:shd w:val="clear" w:color="ed7d31" w:fill="ed7d31"/>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9" w:customStyle="1">
    <w:name w:val="Grid Table 5 Dark - Accent 3"/>
    <w:basedOn w:val="645"/>
    <w:uiPriority w:val="0"/>
    <w:qFormat/>
    <w:pPr>
      <w:spacing w:after="0" w:line="240" w:lineRule="auto"/>
    </w:pPr>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tcPr>
        <w:shd w:val="clear" w:color="a5a5a5" w:fill="a5a5a5"/>
      </w:tcPr>
    </w:tblStylePr>
    <w:tblStylePr w:type="firstRow">
      <w:tcPr>
        <w:shd w:val="clear" w:color="a5a5a5" w:fill="a5a5a5"/>
      </w:tcPr>
    </w:tblStylePr>
    <w:tblStylePr w:type="lastCol">
      <w:tcPr>
        <w:shd w:val="clear" w:color="a5a5a5" w:fill="a5a5a5"/>
      </w:tcPr>
    </w:tblStylePr>
    <w:tblStylePr w:type="lastRow">
      <w:tcPr>
        <w:shd w:val="clear" w:color="a5a5a5" w:fill="a5a5a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0" w:customStyle="1">
    <w:name w:val="Grid Table 5 Dark- Accent 4"/>
    <w:basedOn w:val="645"/>
    <w:uiPriority w:val="0"/>
    <w:qFormat/>
    <w:pPr>
      <w:spacing w:after="0" w:line="240" w:lineRule="auto"/>
    </w:pPr>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tcPr>
        <w:shd w:val="clear" w:color="ffc000" w:fill="ffc000"/>
      </w:tcPr>
    </w:tblStylePr>
    <w:tblStylePr w:type="firstRow">
      <w:tcPr>
        <w:shd w:val="clear" w:color="ffc000" w:fill="ffc000"/>
      </w:tcPr>
    </w:tblStylePr>
    <w:tblStylePr w:type="lastCol">
      <w:tcPr>
        <w:shd w:val="clear" w:color="ffc000" w:fill="ffc000"/>
      </w:tcPr>
    </w:tblStylePr>
    <w:tblStylePr w:type="lastRow">
      <w:tcPr>
        <w:shd w:val="clear" w:color="ffc000" w:fill="ffc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1" w:customStyle="1">
    <w:name w:val="Grid Table 5 Dark - Accent 5"/>
    <w:basedOn w:val="645"/>
    <w:uiPriority w:val="0"/>
    <w:qFormat/>
    <w:pPr>
      <w:spacing w:after="0" w:line="240" w:lineRule="auto"/>
    </w:pPr>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tcPr>
        <w:shd w:val="clear" w:color="4472c4" w:fill="4472c4"/>
      </w:tcPr>
    </w:tblStylePr>
    <w:tblStylePr w:type="firstRow">
      <w:tcPr>
        <w:shd w:val="clear" w:color="4472c4" w:fill="4472c4"/>
      </w:tcPr>
    </w:tblStylePr>
    <w:tblStylePr w:type="lastCol">
      <w:tcPr>
        <w:shd w:val="clear" w:color="4472c4" w:fill="4472c4"/>
      </w:tcPr>
    </w:tblStylePr>
    <w:tblStylePr w:type="lastRow">
      <w:tcPr>
        <w:shd w:val="clear" w:color="4472c4" w:fill="4472c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2" w:customStyle="1">
    <w:name w:val="Grid Table 5 Dark - Accent 6"/>
    <w:basedOn w:val="645"/>
    <w:uiPriority w:val="0"/>
    <w:qFormat/>
    <w:pPr>
      <w:spacing w:after="0" w:line="240" w:lineRule="auto"/>
    </w:pPr>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tcPr>
        <w:shd w:val="clear" w:color="70ad47" w:fill="70ad47"/>
      </w:tcPr>
    </w:tblStylePr>
    <w:tblStylePr w:type="firstRow">
      <w:tcPr>
        <w:shd w:val="clear" w:color="70ad47" w:fill="70ad47"/>
      </w:tcPr>
    </w:tblStylePr>
    <w:tblStylePr w:type="lastCol">
      <w:tcPr>
        <w:shd w:val="clear" w:color="70ad47" w:fill="70ad47"/>
      </w:tcPr>
    </w:tblStylePr>
    <w:tblStylePr w:type="lastRow">
      <w:tcPr>
        <w:shd w:val="clear" w:color="70ad47" w:fill="70ad47"/>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3" w:customStyle="1">
    <w:name w:val="Grid Table 6 Colorful"/>
    <w:basedOn w:val="645"/>
    <w:uiPriority w:val="0"/>
    <w:qFormat/>
    <w:pPr>
      <w:spacing w:after="0" w:line="240" w:lineRule="auto"/>
    </w:pPr>
    <w:rPr>
      <w:rFonts w:ascii="Times New Roman" w:hAnsi="Times New Roman" w:eastAsia="宋体" w:cs="Times New Roman"/>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tcPr>
        <w:shd w:val="clear" w:color="cacaca" w:fill="cacaca"/>
      </w:tcPr>
    </w:tblStylePr>
    <w:tblStylePr w:type="band1Vert">
      <w:tcPr>
        <w:shd w:val="clear" w:color="cacaca" w:fill="cacaca"/>
      </w:tcPr>
    </w:tblStylePr>
    <w:tblStylePr w:type="firstRow">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style>
  <w:style w:type="table" w:styleId="764" w:customStyle="1">
    <w:name w:val="Grid Table 6 Colorful - Accent 1"/>
    <w:basedOn w:val="645"/>
    <w:uiPriority w:val="0"/>
    <w:qFormat/>
    <w:pPr>
      <w:spacing w:after="0" w:line="240" w:lineRule="auto"/>
    </w:pPr>
    <w:rPr>
      <w:rFonts w:ascii="Times New Roman" w:hAnsi="Times New Roman" w:eastAsia="宋体" w:cs="Times New Roman"/>
    </w:rPr>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band1Horz">
      <w:tcPr>
        <w:shd w:val="clear" w:color="ddeaf6" w:fill="ddeaf6"/>
      </w:tcPr>
    </w:tblStylePr>
    <w:tblStylePr w:type="band1Vert">
      <w:tcPr>
        <w:shd w:val="clear" w:color="ddeaf6" w:fill="ddeaf6"/>
      </w:tcPr>
    </w:tblStylePr>
    <w:tblStylePr w:type="firstRow">
      <w:tcPr>
        <w:tcBorders>
          <w:top w:val="none" w:color="000000" w:sz="4" w:space="0"/>
          <w:left w:val="single" w:color="ACCCE9" w:sz="12" w:space="0"/>
          <w:bottom w:val="none" w:color="000000" w:sz="4" w:space="0"/>
          <w:right w:val="none" w:color="000000" w:sz="4" w:space="0"/>
          <w:insideH w:val="none" w:color="000000" w:sz="4" w:space="0"/>
          <w:insideV w:val="none" w:color="000000" w:sz="4" w:space="0"/>
        </w:tcBorders>
      </w:tcPr>
    </w:tblStylePr>
  </w:style>
  <w:style w:type="table" w:styleId="765" w:customStyle="1">
    <w:name w:val="Grid Table 6 Colorful - Accent 2"/>
    <w:basedOn w:val="645"/>
    <w:uiPriority w:val="0"/>
    <w:qFormat/>
    <w:pPr>
      <w:spacing w:after="0" w:line="240" w:lineRule="auto"/>
    </w:pPr>
    <w:rPr>
      <w:rFonts w:ascii="Times New Roman" w:hAnsi="Times New Roman" w:eastAsia="宋体" w:cs="Times New Roman"/>
    </w:rPr>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tcPr>
        <w:shd w:val="clear" w:color="fbe5d6" w:fill="fbe5d6"/>
      </w:tcPr>
    </w:tblStylePr>
    <w:tblStylePr w:type="band1Vert">
      <w:tcPr>
        <w:shd w:val="clear" w:color="fbe5d6" w:fill="fbe5d6"/>
      </w:tcPr>
    </w:tblStylePr>
    <w:tblStylePr w:type="firstRow">
      <w:tcPr>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style>
  <w:style w:type="table" w:styleId="766" w:customStyle="1">
    <w:name w:val="Grid Table 6 Colorful - Accent 3"/>
    <w:basedOn w:val="645"/>
    <w:uiPriority w:val="0"/>
    <w:qFormat/>
    <w:pPr>
      <w:spacing w:after="0" w:line="240" w:lineRule="auto"/>
    </w:pPr>
    <w:rPr>
      <w:rFonts w:ascii="Times New Roman" w:hAnsi="Times New Roman" w:eastAsia="宋体" w:cs="Times New Roman"/>
    </w:rPr>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tcPr>
        <w:shd w:val="clear" w:color="ececec" w:fill="ececec"/>
      </w:tcPr>
    </w:tblStylePr>
    <w:tblStylePr w:type="band1Vert">
      <w:tcPr>
        <w:shd w:val="clear" w:color="ececec" w:fill="ececec"/>
      </w:tcPr>
    </w:tblStylePr>
    <w:tblStylePr w:type="firstRow">
      <w:tcPr>
        <w:tcBorders>
          <w:top w:val="none" w:color="000000" w:sz="4" w:space="0"/>
          <w:left w:val="single" w:color="A5A5A5" w:sz="12" w:space="0"/>
          <w:bottom w:val="none" w:color="000000" w:sz="4" w:space="0"/>
          <w:right w:val="none" w:color="000000" w:sz="4" w:space="0"/>
          <w:insideH w:val="none" w:color="000000" w:sz="4" w:space="0"/>
          <w:insideV w:val="none" w:color="000000" w:sz="4" w:space="0"/>
        </w:tcBorders>
      </w:tcPr>
    </w:tblStylePr>
  </w:style>
  <w:style w:type="table" w:styleId="767" w:customStyle="1">
    <w:name w:val="Grid Table 6 Colorful - Accent 4"/>
    <w:basedOn w:val="645"/>
    <w:uiPriority w:val="0"/>
    <w:qFormat/>
    <w:pPr>
      <w:spacing w:after="0" w:line="240" w:lineRule="auto"/>
    </w:pPr>
    <w:rPr>
      <w:rFonts w:ascii="Times New Roman" w:hAnsi="Times New Roman" w:eastAsia="宋体" w:cs="Times New Roman"/>
    </w:rPr>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tcPr>
        <w:shd w:val="clear" w:color="fef2ca" w:fill="fef2ca"/>
      </w:tcPr>
    </w:tblStylePr>
    <w:tblStylePr w:type="band1Vert">
      <w:tcPr>
        <w:shd w:val="clear" w:color="fef2ca" w:fill="fef2ca"/>
      </w:tcPr>
    </w:tblStylePr>
    <w:tblStylePr w:type="firstRow">
      <w:tcPr>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style>
  <w:style w:type="table" w:styleId="768" w:customStyle="1">
    <w:name w:val="Grid Table 6 Colorful - Accent 5"/>
    <w:basedOn w:val="645"/>
    <w:uiPriority w:val="0"/>
    <w:qFormat/>
    <w:pPr>
      <w:spacing w:after="0" w:line="240" w:lineRule="auto"/>
    </w:pPr>
    <w:rPr>
      <w:rFonts w:ascii="Times New Roman" w:hAnsi="Times New Roman" w:eastAsia="宋体" w:cs="Times New Roman"/>
    </w:rPr>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tcPr>
        <w:shd w:val="clear" w:color="d8e2f2" w:fill="d8e2f2"/>
      </w:tcPr>
    </w:tblStylePr>
    <w:tblStylePr w:type="band1Vert">
      <w:tcPr>
        <w:shd w:val="clear" w:color="d8e2f2" w:fill="d8e2f2"/>
      </w:tcPr>
    </w:tblStylePr>
    <w:tblStylePr w:type="firstRow">
      <w:tcPr>
        <w:tcBorders>
          <w:top w:val="none" w:color="000000" w:sz="4" w:space="0"/>
          <w:left w:val="single" w:color="4472C4" w:sz="12" w:space="0"/>
          <w:bottom w:val="none" w:color="000000" w:sz="4" w:space="0"/>
          <w:right w:val="none" w:color="000000" w:sz="4" w:space="0"/>
          <w:insideH w:val="none" w:color="000000" w:sz="4" w:space="0"/>
          <w:insideV w:val="none" w:color="000000" w:sz="4" w:space="0"/>
        </w:tcBorders>
      </w:tcPr>
    </w:tblStylePr>
  </w:style>
  <w:style w:type="table" w:styleId="769" w:customStyle="1">
    <w:name w:val="Grid Table 6 Colorful - Accent 6"/>
    <w:basedOn w:val="645"/>
    <w:uiPriority w:val="0"/>
    <w:qFormat/>
    <w:pPr>
      <w:spacing w:after="0" w:line="240" w:lineRule="auto"/>
    </w:pPr>
    <w:rPr>
      <w:rFonts w:ascii="Times New Roman" w:hAnsi="Times New Roman" w:eastAsia="宋体" w:cs="Times New Roman"/>
    </w:rPr>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tcPr>
        <w:shd w:val="clear" w:color="e1efd8" w:fill="e1efd8"/>
      </w:tcPr>
    </w:tblStylePr>
    <w:tblStylePr w:type="band1Vert">
      <w:tcPr>
        <w:shd w:val="clear" w:color="e1efd8" w:fill="e1efd8"/>
      </w:tcPr>
    </w:tblStylePr>
    <w:tblStylePr w:type="firstRow">
      <w:tcPr>
        <w:tcBorders>
          <w:top w:val="none" w:color="000000" w:sz="4" w:space="0"/>
          <w:left w:val="single" w:color="70AD47" w:sz="12" w:space="0"/>
          <w:bottom w:val="none" w:color="000000" w:sz="4" w:space="0"/>
          <w:right w:val="none" w:color="000000" w:sz="4" w:space="0"/>
          <w:insideH w:val="none" w:color="000000" w:sz="4" w:space="0"/>
          <w:insideV w:val="none" w:color="000000" w:sz="4" w:space="0"/>
        </w:tcBorders>
      </w:tcPr>
    </w:tblStylePr>
  </w:style>
  <w:style w:type="table" w:styleId="770" w:customStyle="1">
    <w:name w:val="Grid Table 7 Colorful"/>
    <w:basedOn w:val="645"/>
    <w:uiPriority w:val="0"/>
    <w:qFormat/>
    <w:pPr>
      <w:spacing w:after="0" w:line="240" w:lineRule="auto"/>
    </w:pPr>
    <w:rPr>
      <w:rFonts w:ascii="Times New Roman" w:hAnsi="Times New Roman" w:eastAsia="宋体" w:cs="Times New Roman"/>
    </w:rPr>
    <w:tblPr>
      <w:tblBorders>
        <w:bottom w:val="single" w:color="7E7E7E" w:sz="4" w:space="0"/>
        <w:right w:val="single" w:color="7E7E7E" w:sz="4" w:space="0"/>
        <w:insideH w:val="single" w:color="7E7E7E" w:sz="4" w:space="0"/>
        <w:insideV w:val="single" w:color="7E7E7E" w:sz="4" w:space="0"/>
      </w:tblBorders>
    </w:tblPr>
    <w:tblStylePr w:type="band1Horz">
      <w:tcPr>
        <w:shd w:val="clear" w:color="f1f1f1" w:fill="f1f1f1"/>
      </w:tcPr>
    </w:tblStylePr>
    <w:tblStylePr w:type="band1Vert">
      <w:tcPr>
        <w:shd w:val="clear" w:color="f1f1f1" w:fill="f1f1f1"/>
      </w:tcPr>
    </w:tblStylePr>
    <w:tblStylePr w:type="firstCol">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1" w:customStyle="1">
    <w:name w:val="Grid Table 7 Colorful - Accent 1"/>
    <w:basedOn w:val="645"/>
    <w:uiPriority w:val="0"/>
    <w:qFormat/>
    <w:pPr>
      <w:spacing w:after="0" w:line="240" w:lineRule="auto"/>
    </w:pPr>
    <w:rPr>
      <w:rFonts w:ascii="Times New Roman" w:hAnsi="Times New Roman" w:eastAsia="宋体" w:cs="Times New Roman"/>
    </w:rPr>
    <w:tblPr>
      <w:tblBorders>
        <w:bottom w:val="single" w:color="ACCCE9" w:sz="4" w:space="0"/>
        <w:right w:val="single" w:color="ACCCE9" w:sz="4" w:space="0"/>
        <w:insideH w:val="single" w:color="ACCCE9" w:sz="4" w:space="0"/>
        <w:insideV w:val="single" w:color="ACCCE9" w:sz="4" w:space="0"/>
      </w:tblBorders>
    </w:tblPr>
    <w:tblStylePr w:type="band1Horz">
      <w:tcPr>
        <w:shd w:val="clear" w:color="ddeaf6" w:fill="ddeaf6"/>
      </w:tcPr>
    </w:tblStylePr>
    <w:tblStylePr w:type="band1Vert">
      <w:tcPr>
        <w:shd w:val="clear" w:color="ddeaf6" w:fill="ddeaf6"/>
      </w:tcPr>
    </w:tblStylePr>
    <w:tblStylePr w:type="firstCol">
      <w:pPr>
        <w:jc w:val="right"/>
      </w:pPr>
      <w:tcPr>
        <w:shd w:val="clear" w:color="ffffff" w:fill="auto"/>
        <w:tcBorders>
          <w:top w:val="none" w:color="000000" w:sz="4" w:space="0"/>
          <w:left w:val="none" w:color="000000" w:sz="4" w:space="0"/>
          <w:bottom w:val="none" w:color="000000" w:sz="4" w:space="0"/>
          <w:right w:val="single" w:color="ACCCE9" w:sz="4" w:space="0"/>
          <w:insideH w:val="none" w:color="000000" w:sz="4" w:space="0"/>
          <w:insideV w:val="none" w:color="000000" w:sz="4" w:space="0"/>
        </w:tcBorders>
      </w:tcPr>
    </w:tblStylePr>
    <w:tblStylePr w:type="firstRow">
      <w:tcPr>
        <w:shd w:val="clear" w:color="ffffff" w:fill="ffffff"/>
        <w:tcBorders>
          <w:top w:val="none" w:color="000000" w:sz="4" w:space="0"/>
          <w:left w:val="single" w:color="ACCCE9"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ACCCE9" w:sz="4" w:space="0"/>
          <w:right w:val="none" w:color="000000" w:sz="4" w:space="0"/>
          <w:insideH w:val="none" w:color="000000" w:sz="4" w:space="0"/>
          <w:insideV w:val="none" w:color="000000" w:sz="4" w:space="0"/>
        </w:tcBorders>
      </w:tcPr>
    </w:tblStylePr>
    <w:tblStylePr w:type="lastRow">
      <w:tcPr>
        <w:shd w:val="clear" w:color="ffffff" w:fill="ffffff"/>
        <w:tcBorders>
          <w:top w:val="single" w:color="ACCCE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2" w:customStyle="1">
    <w:name w:val="Grid Table 7 Colorful - Accent 2"/>
    <w:basedOn w:val="645"/>
    <w:uiPriority w:val="0"/>
    <w:qFormat/>
    <w:pPr>
      <w:spacing w:after="0" w:line="240" w:lineRule="auto"/>
    </w:pPr>
    <w:rPr>
      <w:rFonts w:ascii="Times New Roman" w:hAnsi="Times New Roman" w:eastAsia="宋体" w:cs="Times New Roman"/>
    </w:rPr>
    <w:tblPr>
      <w:tblBorders>
        <w:bottom w:val="single" w:color="F4B285" w:sz="4" w:space="0"/>
        <w:right w:val="single" w:color="F4B285" w:sz="4" w:space="0"/>
        <w:insideH w:val="single" w:color="F4B285" w:sz="4" w:space="0"/>
        <w:insideV w:val="single" w:color="F4B285" w:sz="4" w:space="0"/>
      </w:tblBorders>
    </w:tblPr>
    <w:tblStylePr w:type="band1Horz">
      <w:tcPr>
        <w:shd w:val="clear" w:color="fbe5d6" w:fill="fbe5d6"/>
      </w:tcPr>
    </w:tblStylePr>
    <w:tblStylePr w:type="band1Vert">
      <w:tcPr>
        <w:shd w:val="clear" w:color="fbe5d6" w:fill="fbe5d6"/>
      </w:tcPr>
    </w:tblStylePr>
    <w:tblStylePr w:type="firstCol">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tcPr>
        <w:shd w:val="clear" w:color="ffffff" w:fill="ffffff"/>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Row">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3" w:customStyle="1">
    <w:name w:val="Grid Table 7 Colorful - Accent 3"/>
    <w:basedOn w:val="645"/>
    <w:uiPriority w:val="0"/>
    <w:qFormat/>
    <w:pPr>
      <w:spacing w:after="0" w:line="240" w:lineRule="auto"/>
    </w:pPr>
    <w:rPr>
      <w:rFonts w:ascii="Times New Roman" w:hAnsi="Times New Roman" w:eastAsia="宋体" w:cs="Times New Roman"/>
    </w:rPr>
    <w:tblPr>
      <w:tblBorders>
        <w:bottom w:val="single" w:color="A5A5A5" w:sz="4" w:space="0"/>
        <w:right w:val="single" w:color="A5A5A5" w:sz="4" w:space="0"/>
        <w:insideH w:val="single" w:color="A5A5A5" w:sz="4" w:space="0"/>
        <w:insideV w:val="single" w:color="A5A5A5" w:sz="4" w:space="0"/>
      </w:tblBorders>
    </w:tblPr>
    <w:tblStylePr w:type="band1Horz">
      <w:tcPr>
        <w:shd w:val="clear" w:color="ececec" w:fill="ececec"/>
      </w:tcPr>
    </w:tblStylePr>
    <w:tblStylePr w:type="band1Vert">
      <w:tcPr>
        <w:shd w:val="clear" w:color="ececec" w:fill="ececec"/>
      </w:tcPr>
    </w:tblStylePr>
    <w:tblStylePr w:type="firstCol">
      <w:pPr>
        <w:jc w:val="right"/>
      </w:pPr>
      <w:tcPr>
        <w:shd w:val="clear" w:color="ffffff" w:fill="auto"/>
        <w:tcBorders>
          <w:top w:val="none" w:color="000000" w:sz="4" w:space="0"/>
          <w:left w:val="none" w:color="000000" w:sz="4" w:space="0"/>
          <w:bottom w:val="none" w:color="000000" w:sz="4" w:space="0"/>
          <w:right w:val="single" w:color="A5A5A5" w:sz="4" w:space="0"/>
          <w:insideH w:val="none" w:color="000000" w:sz="4" w:space="0"/>
          <w:insideV w:val="none" w:color="000000" w:sz="4" w:space="0"/>
        </w:tcBorders>
      </w:tcPr>
    </w:tblStylePr>
    <w:tblStylePr w:type="firstRow">
      <w:tcPr>
        <w:shd w:val="clear" w:color="ffffff" w:fill="ffffff"/>
        <w:tcBorders>
          <w:top w:val="none" w:color="000000" w:sz="4" w:space="0"/>
          <w:left w:val="single" w:color="A5A5A5"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Row">
      <w:tcPr>
        <w:shd w:val="clear" w:color="ffffff" w:fill="ffffff"/>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4" w:customStyle="1">
    <w:name w:val="Grid Table 7 Colorful - Accent 4"/>
    <w:basedOn w:val="645"/>
    <w:uiPriority w:val="0"/>
    <w:qFormat/>
    <w:pPr>
      <w:spacing w:after="0" w:line="240" w:lineRule="auto"/>
    </w:pPr>
    <w:rPr>
      <w:rFonts w:ascii="Times New Roman" w:hAnsi="Times New Roman" w:eastAsia="宋体" w:cs="Times New Roman"/>
    </w:rPr>
    <w:tblPr>
      <w:tblBorders>
        <w:bottom w:val="single" w:color="FFD864" w:sz="4" w:space="0"/>
        <w:right w:val="single" w:color="FFD864" w:sz="4" w:space="0"/>
        <w:insideH w:val="single" w:color="FFD864" w:sz="4" w:space="0"/>
        <w:insideV w:val="single" w:color="FFD864" w:sz="4" w:space="0"/>
      </w:tblBorders>
    </w:tblPr>
    <w:tblStylePr w:type="band1Horz">
      <w:tcPr>
        <w:shd w:val="clear" w:color="fef2ca" w:fill="fef2ca"/>
      </w:tcPr>
    </w:tblStylePr>
    <w:tblStylePr w:type="band1Vert">
      <w:tcPr>
        <w:shd w:val="clear" w:color="fef2ca" w:fill="fef2ca"/>
      </w:tcPr>
    </w:tblStylePr>
    <w:tblStylePr w:type="firstCol">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tcPr>
        <w:shd w:val="clear" w:color="ffffff" w:fill="ffffff"/>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Row">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5" w:customStyle="1">
    <w:name w:val="Grid Table 7 Colorful - Accent 5"/>
    <w:basedOn w:val="645"/>
    <w:uiPriority w:val="0"/>
    <w:qFormat/>
    <w:pPr>
      <w:spacing w:after="0" w:line="240" w:lineRule="auto"/>
    </w:pPr>
    <w:rPr>
      <w:rFonts w:ascii="Times New Roman" w:hAnsi="Times New Roman" w:eastAsia="宋体" w:cs="Times New Roman"/>
    </w:rPr>
    <w:tblPr>
      <w:tblBorders>
        <w:bottom w:val="single" w:color="95AFDD" w:sz="4" w:space="0"/>
        <w:right w:val="single" w:color="95AFDD" w:sz="4" w:space="0"/>
        <w:insideH w:val="single" w:color="95AFDD" w:sz="4" w:space="0"/>
        <w:insideV w:val="single" w:color="95AFDD" w:sz="4" w:space="0"/>
      </w:tblBorders>
    </w:tblPr>
    <w:tblStylePr w:type="band1Horz">
      <w:tcPr>
        <w:shd w:val="clear" w:color="d8e2f2" w:fill="d8e2f2"/>
      </w:tcPr>
    </w:tblStylePr>
    <w:tblStylePr w:type="band1Vert">
      <w:tcPr>
        <w:shd w:val="clear" w:color="d8e2f2" w:fill="d8e2f2"/>
      </w:tcPr>
    </w:tblStylePr>
    <w:tblStylePr w:type="firstCol">
      <w:pPr>
        <w:jc w:val="right"/>
      </w:pPr>
      <w:tcPr>
        <w:shd w:val="clear" w:color="ffffff" w:fill="auto"/>
        <w:tcBorders>
          <w:top w:val="none" w:color="000000" w:sz="4" w:space="0"/>
          <w:left w:val="none" w:color="000000" w:sz="4" w:space="0"/>
          <w:bottom w:val="none" w:color="000000" w:sz="4" w:space="0"/>
          <w:right w:val="single" w:color="95AFDD" w:sz="4" w:space="0"/>
          <w:insideH w:val="none" w:color="000000" w:sz="4" w:space="0"/>
          <w:insideV w:val="none" w:color="000000" w:sz="4" w:space="0"/>
        </w:tcBorders>
      </w:tcPr>
    </w:tblStylePr>
    <w:tblStylePr w:type="firstRow">
      <w:tcPr>
        <w:shd w:val="clear" w:color="ffffff" w:fill="ffffff"/>
        <w:tcBorders>
          <w:top w:val="none" w:color="000000" w:sz="4" w:space="0"/>
          <w:left w:val="single" w:color="95AFDD"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Row">
      <w:tcPr>
        <w:shd w:val="clear" w:color="ffffff" w:fill="ffffff"/>
        <w:tcBorders>
          <w:top w:val="single" w:color="95A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6" w:customStyle="1">
    <w:name w:val="Grid Table 7 Colorful - Accent 6"/>
    <w:basedOn w:val="645"/>
    <w:uiPriority w:val="0"/>
    <w:qFormat/>
    <w:pPr>
      <w:spacing w:after="0" w:line="240" w:lineRule="auto"/>
    </w:pPr>
    <w:rPr>
      <w:rFonts w:ascii="Times New Roman" w:hAnsi="Times New Roman" w:eastAsia="宋体" w:cs="Times New Roman"/>
    </w:rPr>
    <w:tblPr>
      <w:tblBorders>
        <w:bottom w:val="single" w:color="ADD394" w:sz="4" w:space="0"/>
        <w:right w:val="single" w:color="ADD394" w:sz="4" w:space="0"/>
        <w:insideH w:val="single" w:color="ADD394" w:sz="4" w:space="0"/>
        <w:insideV w:val="single" w:color="ADD394" w:sz="4" w:space="0"/>
      </w:tblBorders>
    </w:tblPr>
    <w:tblStylePr w:type="band1Horz">
      <w:tcPr>
        <w:shd w:val="clear" w:color="e1efd8" w:fill="e1efd8"/>
      </w:tcPr>
    </w:tblStylePr>
    <w:tblStylePr w:type="band1Vert">
      <w:tcPr>
        <w:shd w:val="clear" w:color="e1efd8" w:fill="e1efd8"/>
      </w:tcPr>
    </w:tblStylePr>
    <w:tblStylePr w:type="firstCol">
      <w:pPr>
        <w:jc w:val="right"/>
      </w:pPr>
      <w:tcPr>
        <w:shd w:val="clear" w:color="ffffff" w:fill="auto"/>
        <w:tcBorders>
          <w:top w:val="none" w:color="000000" w:sz="4" w:space="0"/>
          <w:left w:val="none" w:color="000000" w:sz="4" w:space="0"/>
          <w:bottom w:val="none" w:color="000000" w:sz="4" w:space="0"/>
          <w:right w:val="single" w:color="ADD394" w:sz="4" w:space="0"/>
          <w:insideH w:val="none" w:color="000000" w:sz="4" w:space="0"/>
          <w:insideV w:val="none" w:color="000000" w:sz="4" w:space="0"/>
        </w:tcBorders>
      </w:tcPr>
    </w:tblStylePr>
    <w:tblStylePr w:type="firstRow">
      <w:tcPr>
        <w:shd w:val="clear" w:color="ffffff" w:fill="ffffff"/>
        <w:tcBorders>
          <w:top w:val="none" w:color="000000" w:sz="4" w:space="0"/>
          <w:left w:val="single" w:color="ADD394"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Row">
      <w:tcPr>
        <w:shd w:val="clear" w:color="ffffff" w:fill="ffffff"/>
        <w:tcBorders>
          <w:top w:val="single" w:color="ADD39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7" w:customStyle="1">
    <w:name w:val="List Table 1 Light"/>
    <w:basedOn w:val="645"/>
    <w:uiPriority w:val="0"/>
    <w:qFormat/>
    <w:pPr>
      <w:spacing w:after="0" w:line="240" w:lineRule="auto"/>
    </w:pPr>
    <w:rPr>
      <w:rFonts w:ascii="Times New Roman" w:hAnsi="Times New Roman" w:eastAsia="宋体" w:cs="Times New Roman"/>
    </w:rPr>
    <w:tblPr/>
    <w:tblStylePr w:type="band1Horz">
      <w:tcPr>
        <w:shd w:val="clear" w:color="bebebe" w:fill="bebebe"/>
      </w:tcPr>
    </w:tblStylePr>
    <w:tblStylePr w:type="band1Vert">
      <w:tcPr>
        <w:shd w:val="clear" w:color="bebebe" w:fill="bebebe"/>
      </w:tcPr>
    </w:tblStylePr>
    <w:tblStylePr w:type="firstRow">
      <w:tcPr>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8" w:customStyle="1">
    <w:name w:val="List Table 1 Light - Accent 1"/>
    <w:basedOn w:val="645"/>
    <w:uiPriority w:val="0"/>
    <w:qFormat/>
    <w:pPr>
      <w:spacing w:after="0" w:line="240" w:lineRule="auto"/>
    </w:pPr>
    <w:rPr>
      <w:rFonts w:ascii="Times New Roman" w:hAnsi="Times New Roman" w:eastAsia="宋体" w:cs="Times New Roman"/>
    </w:rPr>
    <w:tblPr/>
    <w:tblStylePr w:type="band1Horz">
      <w:tcPr>
        <w:shd w:val="clear" w:color="d5e5f4" w:fill="d5e5f4"/>
      </w:tcPr>
    </w:tblStylePr>
    <w:tblStylePr w:type="band1Vert">
      <w:tcPr>
        <w:shd w:val="clear" w:color="d5e5f4" w:fill="d5e5f4"/>
      </w:tcPr>
    </w:tblStylePr>
    <w:tblStylePr w:type="firstRow">
      <w:tcPr>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9" w:customStyle="1">
    <w:name w:val="List Table 1 Light - Accent 2"/>
    <w:basedOn w:val="645"/>
    <w:uiPriority w:val="0"/>
    <w:qFormat/>
    <w:pPr>
      <w:spacing w:after="0" w:line="240" w:lineRule="auto"/>
    </w:pPr>
    <w:rPr>
      <w:rFonts w:ascii="Times New Roman" w:hAnsi="Times New Roman" w:eastAsia="宋体" w:cs="Times New Roman"/>
    </w:rPr>
    <w:tblPr/>
    <w:tblStylePr w:type="band1Horz">
      <w:tcPr>
        <w:shd w:val="clear" w:color="fadecb" w:fill="fadecb"/>
      </w:tcPr>
    </w:tblStylePr>
    <w:tblStylePr w:type="band1Vert">
      <w:tcPr>
        <w:shd w:val="clear" w:color="fadecb" w:fill="fadecb"/>
      </w:tcPr>
    </w:tblStylePr>
    <w:tblStylePr w:type="firstRow">
      <w:tcPr>
        <w:tcBorders>
          <w:top w:val="none" w:color="000000" w:sz="4" w:space="0"/>
          <w:left w:val="single" w:color="ED7D31"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ED7D3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0" w:customStyle="1">
    <w:name w:val="List Table 1 Light - Accent 3"/>
    <w:basedOn w:val="645"/>
    <w:uiPriority w:val="0"/>
    <w:qFormat/>
    <w:pPr>
      <w:spacing w:after="0" w:line="240" w:lineRule="auto"/>
    </w:pPr>
    <w:rPr>
      <w:rFonts w:ascii="Times New Roman" w:hAnsi="Times New Roman" w:eastAsia="宋体" w:cs="Times New Roman"/>
    </w:rPr>
    <w:tblPr/>
    <w:tblStylePr w:type="band1Horz">
      <w:tcPr>
        <w:shd w:val="clear" w:color="e8e8e8" w:fill="e8e8e8"/>
      </w:tcPr>
    </w:tblStylePr>
    <w:tblStylePr w:type="band1Vert">
      <w:tcPr>
        <w:shd w:val="clear" w:color="e8e8e8" w:fill="e8e8e8"/>
      </w:tcPr>
    </w:tblStylePr>
    <w:tblStylePr w:type="firstRow">
      <w:tcPr>
        <w:tcBorders>
          <w:top w:val="none" w:color="000000" w:sz="4" w:space="0"/>
          <w:left w:val="single" w:color="A5A5A5"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1" w:customStyle="1">
    <w:name w:val="List Table 1 Light - Accent 4"/>
    <w:basedOn w:val="645"/>
    <w:uiPriority w:val="0"/>
    <w:qFormat/>
    <w:pPr>
      <w:spacing w:after="0" w:line="240" w:lineRule="auto"/>
    </w:pPr>
    <w:rPr>
      <w:rFonts w:ascii="Times New Roman" w:hAnsi="Times New Roman" w:eastAsia="宋体" w:cs="Times New Roman"/>
    </w:rPr>
    <w:tblPr/>
    <w:tblStylePr w:type="band1Horz">
      <w:tcPr>
        <w:shd w:val="clear" w:color="ffefbe" w:fill="ffefbe"/>
      </w:tcPr>
    </w:tblStylePr>
    <w:tblStylePr w:type="band1Vert">
      <w:tcPr>
        <w:shd w:val="clear" w:color="ffefbe" w:fill="ffefbe"/>
      </w:tcPr>
    </w:tblStylePr>
    <w:tblStylePr w:type="firstRow">
      <w:tcPr>
        <w:tcBorders>
          <w:top w:val="none" w:color="000000" w:sz="4" w:space="0"/>
          <w:left w:val="single" w:color="FFC000"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FFC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2" w:customStyle="1">
    <w:name w:val="List Table 1 Light - Accent 5"/>
    <w:basedOn w:val="645"/>
    <w:uiPriority w:val="0"/>
    <w:qFormat/>
    <w:pPr>
      <w:spacing w:after="0" w:line="240" w:lineRule="auto"/>
    </w:pPr>
    <w:rPr>
      <w:rFonts w:ascii="Times New Roman" w:hAnsi="Times New Roman" w:eastAsia="宋体" w:cs="Times New Roman"/>
    </w:rPr>
    <w:tblPr/>
    <w:tblStylePr w:type="band1Horz">
      <w:tcPr>
        <w:shd w:val="clear" w:color="d0dbf0" w:fill="d0dbf0"/>
      </w:tcPr>
    </w:tblStylePr>
    <w:tblStylePr w:type="band1Vert">
      <w:tcPr>
        <w:shd w:val="clear" w:color="d0dbf0" w:fill="d0dbf0"/>
      </w:tcPr>
    </w:tblStylePr>
    <w:tblStylePr w:type="firstRow">
      <w:tcPr>
        <w:tcBorders>
          <w:top w:val="none" w:color="000000" w:sz="4" w:space="0"/>
          <w:left w:val="single" w:color="4472C4"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3" w:customStyle="1">
    <w:name w:val="List Table 1 Light - Accent 6"/>
    <w:basedOn w:val="645"/>
    <w:uiPriority w:val="0"/>
    <w:qFormat/>
    <w:pPr>
      <w:spacing w:after="0" w:line="240" w:lineRule="auto"/>
    </w:pPr>
    <w:rPr>
      <w:rFonts w:ascii="Times New Roman" w:hAnsi="Times New Roman" w:eastAsia="宋体" w:cs="Times New Roman"/>
    </w:rPr>
    <w:tblPr/>
    <w:tblStylePr w:type="band1Horz">
      <w:tcPr>
        <w:shd w:val="clear" w:color="daebcf" w:fill="daebcf"/>
      </w:tcPr>
    </w:tblStylePr>
    <w:tblStylePr w:type="band1Vert">
      <w:tcPr>
        <w:shd w:val="clear" w:color="daebcf" w:fill="daebcf"/>
      </w:tcPr>
    </w:tblStylePr>
    <w:tblStylePr w:type="firstRow">
      <w:tcPr>
        <w:tcBorders>
          <w:top w:val="none" w:color="000000" w:sz="4" w:space="0"/>
          <w:left w:val="single" w:color="70AD47"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4" w:customStyle="1">
    <w:name w:val="List Table 2"/>
    <w:basedOn w:val="645"/>
    <w:uiPriority w:val="0"/>
    <w:qFormat/>
    <w:pPr>
      <w:spacing w:after="0" w:line="240" w:lineRule="auto"/>
    </w:pPr>
    <w:rPr>
      <w:rFonts w:ascii="Times New Roman" w:hAnsi="Times New Roman" w:eastAsia="宋体" w:cs="Times New Roman"/>
    </w:rPr>
    <w:tblPr>
      <w:tblBorders>
        <w:top w:val="single" w:color="6E6E6E" w:sz="4" w:space="0"/>
        <w:bottom w:val="single" w:color="6E6E6E" w:sz="4" w:space="0"/>
        <w:insideH w:val="single" w:color="6E6E6E" w:sz="4" w:space="0"/>
      </w:tblBorders>
    </w:tblPr>
    <w:tblStylePr w:type="band1Horz">
      <w:tcPr>
        <w:shd w:val="clear" w:color="bebebe" w:fill="bebebe"/>
      </w:tcPr>
    </w:tblStylePr>
    <w:tblStylePr w:type="band1Vert">
      <w:tcPr>
        <w:shd w:val="clear" w:color="bebebe" w:fill="bebebe"/>
      </w:tcPr>
    </w:tblStylePr>
    <w:tblStylePr w:type="firstRow">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785" w:customStyle="1">
    <w:name w:val="List Table 2 - Accent 1"/>
    <w:basedOn w:val="645"/>
    <w:uiPriority w:val="0"/>
    <w:qFormat/>
    <w:pPr>
      <w:spacing w:after="0" w:line="240" w:lineRule="auto"/>
    </w:pPr>
    <w:rPr>
      <w:rFonts w:ascii="Times New Roman" w:hAnsi="Times New Roman" w:eastAsia="宋体" w:cs="Times New Roman"/>
    </w:rPr>
    <w:tblPr>
      <w:tblBorders>
        <w:top w:val="single" w:color="A2C6E7" w:sz="4" w:space="0"/>
        <w:bottom w:val="single" w:color="A2C6E7" w:sz="4" w:space="0"/>
        <w:insideH w:val="single" w:color="A2C6E7" w:sz="4" w:space="0"/>
      </w:tblBorders>
    </w:tblPr>
    <w:tblStylePr w:type="band1Horz">
      <w:tcPr>
        <w:shd w:val="clear" w:color="d5e5f4" w:fill="d5e5f4"/>
      </w:tcPr>
    </w:tblStylePr>
    <w:tblStylePr w:type="band1Vert">
      <w:tcPr>
        <w:shd w:val="clear" w:color="d5e5f4" w:fill="d5e5f4"/>
      </w:tcPr>
    </w:tblStylePr>
    <w:tblStylePr w:type="firstRow">
      <w:tcPr>
        <w:tcBorders>
          <w:top w:val="single" w:color="A2C6E7" w:sz="4" w:space="0"/>
          <w:left w:val="single" w:color="A2C6E7"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2C6E7" w:sz="4" w:space="0"/>
          <w:left w:val="single" w:color="A2C6E7" w:sz="4" w:space="0"/>
          <w:bottom w:val="none" w:color="000000" w:sz="4" w:space="0"/>
          <w:right w:val="none" w:color="000000" w:sz="4" w:space="0"/>
          <w:insideH w:val="none" w:color="000000" w:sz="4" w:space="0"/>
          <w:insideV w:val="none" w:color="000000" w:sz="4" w:space="0"/>
        </w:tcBorders>
      </w:tcPr>
    </w:tblStylePr>
  </w:style>
  <w:style w:type="table" w:styleId="786" w:customStyle="1">
    <w:name w:val="List Table 2 - Accent 2"/>
    <w:basedOn w:val="645"/>
    <w:uiPriority w:val="0"/>
    <w:qFormat/>
    <w:pPr>
      <w:spacing w:after="0" w:line="240" w:lineRule="auto"/>
    </w:pPr>
    <w:rPr>
      <w:rFonts w:ascii="Times New Roman" w:hAnsi="Times New Roman" w:eastAsia="宋体" w:cs="Times New Roman"/>
    </w:rPr>
    <w:tblPr>
      <w:tblBorders>
        <w:top w:val="single" w:color="F4B58A" w:sz="4" w:space="0"/>
        <w:bottom w:val="single" w:color="F4B58A" w:sz="4" w:space="0"/>
        <w:insideH w:val="single" w:color="F4B58A" w:sz="4" w:space="0"/>
      </w:tblBorders>
    </w:tblPr>
    <w:tblStylePr w:type="band1Horz">
      <w:tcPr>
        <w:shd w:val="clear" w:color="fadecb" w:fill="fadecb"/>
      </w:tcPr>
    </w:tblStylePr>
    <w:tblStylePr w:type="band1Vert">
      <w:tcPr>
        <w:shd w:val="clear" w:color="fadecb" w:fill="fadecb"/>
      </w:tcPr>
    </w:tblStylePr>
    <w:tblStylePr w:type="firstRow">
      <w:tcPr>
        <w:tcBorders>
          <w:top w:val="single" w:color="F4B58A" w:sz="4" w:space="0"/>
          <w:left w:val="single" w:color="F4B58A"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F4B58A" w:sz="4" w:space="0"/>
          <w:left w:val="single" w:color="F4B58A" w:sz="4" w:space="0"/>
          <w:bottom w:val="none" w:color="000000" w:sz="4" w:space="0"/>
          <w:right w:val="none" w:color="000000" w:sz="4" w:space="0"/>
          <w:insideH w:val="none" w:color="000000" w:sz="4" w:space="0"/>
          <w:insideV w:val="none" w:color="000000" w:sz="4" w:space="0"/>
        </w:tcBorders>
      </w:tcPr>
    </w:tblStylePr>
  </w:style>
  <w:style w:type="table" w:styleId="787" w:customStyle="1">
    <w:name w:val="List Table 2 - Accent 3"/>
    <w:basedOn w:val="645"/>
    <w:uiPriority w:val="0"/>
    <w:qFormat/>
    <w:pPr>
      <w:spacing w:after="0" w:line="240" w:lineRule="auto"/>
    </w:pPr>
    <w:rPr>
      <w:rFonts w:ascii="Times New Roman" w:hAnsi="Times New Roman" w:eastAsia="宋体" w:cs="Times New Roman"/>
    </w:rPr>
    <w:tblPr>
      <w:tblBorders>
        <w:top w:val="single" w:color="CCCCCC" w:sz="4" w:space="0"/>
        <w:bottom w:val="single" w:color="CCCCCC" w:sz="4" w:space="0"/>
        <w:insideH w:val="single" w:color="CCCCCC" w:sz="4" w:space="0"/>
      </w:tblBorders>
    </w:tblPr>
    <w:tblStylePr w:type="band1Horz">
      <w:tcPr>
        <w:shd w:val="clear" w:color="e8e8e8" w:fill="e8e8e8"/>
      </w:tcPr>
    </w:tblStylePr>
    <w:tblStylePr w:type="band1Vert">
      <w:tcPr>
        <w:shd w:val="clear" w:color="e8e8e8" w:fill="e8e8e8"/>
      </w:tcPr>
    </w:tblStylePr>
    <w:tblStylePr w:type="firstRow">
      <w:tcPr>
        <w:tcBorders>
          <w:top w:val="single" w:color="CCCCCC" w:sz="4" w:space="0"/>
          <w:left w:val="single" w:color="CCCCCC"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CCCCCC" w:sz="4" w:space="0"/>
          <w:left w:val="single" w:color="CCCCCC" w:sz="4" w:space="0"/>
          <w:bottom w:val="none" w:color="000000" w:sz="4" w:space="0"/>
          <w:right w:val="none" w:color="000000" w:sz="4" w:space="0"/>
          <w:insideH w:val="none" w:color="000000" w:sz="4" w:space="0"/>
          <w:insideV w:val="none" w:color="000000" w:sz="4" w:space="0"/>
        </w:tcBorders>
      </w:tcPr>
    </w:tblStylePr>
  </w:style>
  <w:style w:type="table" w:styleId="788" w:customStyle="1">
    <w:name w:val="List Table 2 - Accent 4"/>
    <w:basedOn w:val="645"/>
    <w:uiPriority w:val="0"/>
    <w:qFormat/>
    <w:pPr>
      <w:spacing w:after="0" w:line="240" w:lineRule="auto"/>
    </w:pPr>
    <w:rPr>
      <w:rFonts w:ascii="Times New Roman" w:hAnsi="Times New Roman" w:eastAsia="宋体" w:cs="Times New Roman"/>
    </w:rPr>
    <w:tblPr>
      <w:tblBorders>
        <w:top w:val="single" w:color="FFDB6E" w:sz="4" w:space="0"/>
        <w:bottom w:val="single" w:color="FFDB6E" w:sz="4" w:space="0"/>
        <w:insideH w:val="single" w:color="FFDB6E" w:sz="4" w:space="0"/>
      </w:tblBorders>
    </w:tblPr>
    <w:tblStylePr w:type="band1Horz">
      <w:tcPr>
        <w:shd w:val="clear" w:color="ffefbe" w:fill="ffefbe"/>
      </w:tcPr>
    </w:tblStylePr>
    <w:tblStylePr w:type="band1Vert">
      <w:tcPr>
        <w:shd w:val="clear" w:color="ffefbe" w:fill="ffefbe"/>
      </w:tcPr>
    </w:tblStylePr>
    <w:tblStylePr w:type="firstRow">
      <w:tcPr>
        <w:tcBorders>
          <w:top w:val="single" w:color="FFDB6E" w:sz="4" w:space="0"/>
          <w:left w:val="single" w:color="FFDB6E"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FFDB6E" w:sz="4" w:space="0"/>
          <w:left w:val="single" w:color="FFDB6E" w:sz="4" w:space="0"/>
          <w:bottom w:val="none" w:color="000000" w:sz="4" w:space="0"/>
          <w:right w:val="none" w:color="000000" w:sz="4" w:space="0"/>
          <w:insideH w:val="none" w:color="000000" w:sz="4" w:space="0"/>
          <w:insideV w:val="none" w:color="000000" w:sz="4" w:space="0"/>
        </w:tcBorders>
      </w:tcPr>
    </w:tblStylePr>
  </w:style>
  <w:style w:type="table" w:styleId="789" w:customStyle="1">
    <w:name w:val="List Table 2 - Accent 5"/>
    <w:basedOn w:val="645"/>
    <w:uiPriority w:val="0"/>
    <w:qFormat/>
    <w:pPr>
      <w:spacing w:after="0" w:line="240" w:lineRule="auto"/>
    </w:pPr>
    <w:rPr>
      <w:rFonts w:ascii="Times New Roman" w:hAnsi="Times New Roman" w:eastAsia="宋体" w:cs="Times New Roman"/>
    </w:rPr>
    <w:tblPr>
      <w:tblBorders>
        <w:top w:val="single" w:color="95AFDD" w:sz="4" w:space="0"/>
        <w:bottom w:val="single" w:color="95AFDD" w:sz="4" w:space="0"/>
        <w:insideH w:val="single" w:color="95AFDD" w:sz="4" w:space="0"/>
      </w:tblBorders>
    </w:tblPr>
    <w:tblStylePr w:type="band1Horz">
      <w:tcPr>
        <w:shd w:val="clear" w:color="d0dbf0" w:fill="d0dbf0"/>
      </w:tcPr>
    </w:tblStylePr>
    <w:tblStylePr w:type="band1Vert">
      <w:tcPr>
        <w:shd w:val="clear" w:color="d0dbf0" w:fill="d0dbf0"/>
      </w:tcPr>
    </w:tblStylePr>
    <w:tblStylePr w:type="firstRow">
      <w:tcPr>
        <w:tcBorders>
          <w:top w:val="single" w:color="95AFDD" w:sz="4" w:space="0"/>
          <w:left w:val="single" w:color="95AFDD"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95AFDD" w:sz="4" w:space="0"/>
          <w:left w:val="single" w:color="95AFDD" w:sz="4" w:space="0"/>
          <w:bottom w:val="none" w:color="000000" w:sz="4" w:space="0"/>
          <w:right w:val="none" w:color="000000" w:sz="4" w:space="0"/>
          <w:insideH w:val="none" w:color="000000" w:sz="4" w:space="0"/>
          <w:insideV w:val="none" w:color="000000" w:sz="4" w:space="0"/>
        </w:tcBorders>
      </w:tcPr>
    </w:tblStylePr>
  </w:style>
  <w:style w:type="table" w:styleId="790" w:customStyle="1">
    <w:name w:val="List Table 2 - Accent 6"/>
    <w:basedOn w:val="645"/>
    <w:uiPriority w:val="0"/>
    <w:qFormat/>
    <w:pPr>
      <w:spacing w:after="0" w:line="240" w:lineRule="auto"/>
    </w:pPr>
    <w:rPr>
      <w:rFonts w:ascii="Times New Roman" w:hAnsi="Times New Roman" w:eastAsia="宋体" w:cs="Times New Roman"/>
    </w:rPr>
    <w:tblPr>
      <w:tblBorders>
        <w:top w:val="single" w:color="ADD394" w:sz="4" w:space="0"/>
        <w:bottom w:val="single" w:color="ADD394" w:sz="4" w:space="0"/>
        <w:insideH w:val="single" w:color="ADD394" w:sz="4" w:space="0"/>
      </w:tblBorders>
    </w:tblPr>
    <w:tblStylePr w:type="band1Horz">
      <w:tcPr>
        <w:shd w:val="clear" w:color="daebcf" w:fill="daebcf"/>
      </w:tcPr>
    </w:tblStylePr>
    <w:tblStylePr w:type="band1Vert">
      <w:tcPr>
        <w:shd w:val="clear" w:color="daebcf" w:fill="daebcf"/>
      </w:tcPr>
    </w:tblStylePr>
    <w:tblStylePr w:type="firstRow">
      <w:tcPr>
        <w:tcBorders>
          <w:top w:val="single" w:color="ADD394" w:sz="4" w:space="0"/>
          <w:left w:val="single" w:color="ADD394"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DD394" w:sz="4" w:space="0"/>
          <w:left w:val="single" w:color="ADD394" w:sz="4" w:space="0"/>
          <w:bottom w:val="none" w:color="000000" w:sz="4" w:space="0"/>
          <w:right w:val="none" w:color="000000" w:sz="4" w:space="0"/>
          <w:insideH w:val="none" w:color="000000" w:sz="4" w:space="0"/>
          <w:insideV w:val="none" w:color="000000" w:sz="4" w:space="0"/>
        </w:tcBorders>
      </w:tcPr>
    </w:tblStylePr>
  </w:style>
  <w:style w:type="table" w:styleId="791" w:customStyle="1">
    <w:name w:val="List Table 3"/>
    <w:basedOn w:val="645"/>
    <w:uiPriority w:val="0"/>
    <w:qFormat/>
    <w:pPr>
      <w:spacing w:after="0" w:line="240" w:lineRule="auto"/>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firstRow">
      <w:tcPr>
        <w:shd w:val="clear" w:color="000000" w:fill="000000"/>
      </w:tcPr>
    </w:tblStylePr>
  </w:style>
  <w:style w:type="table" w:styleId="792" w:customStyle="1">
    <w:name w:val="List Table 3 - Accent 1"/>
    <w:basedOn w:val="645"/>
    <w:uiPriority w:val="0"/>
    <w:qFormat/>
    <w:pPr>
      <w:spacing w:after="0" w:line="240" w:lineRule="auto"/>
    </w:pPr>
    <w:rPr>
      <w:rFonts w:ascii="Times New Roman" w:hAnsi="Times New Roman" w:eastAsia="宋体" w:cs="Times New Roman"/>
    </w:rPr>
    <w:tblPr>
      <w:tblBorders>
        <w:top w:val="single" w:color="5B9BD5" w:sz="4" w:space="0"/>
        <w:left w:val="single" w:color="5B9BD5" w:sz="4" w:space="0"/>
        <w:bottom w:val="single" w:color="5B9BD5" w:sz="4" w:space="0"/>
        <w:right w:val="single" w:color="5B9BD5" w:sz="4" w:space="0"/>
      </w:tblBorders>
    </w:tblPr>
    <w:tblStylePr w:type="band1Horz">
      <w:tcPr>
        <w:tcBorders>
          <w:top w:val="single" w:color="5B9BD5" w:sz="4" w:space="0"/>
          <w:left w:val="single" w:color="5B9BD5"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5B9BD5" w:sz="4" w:space="0"/>
          <w:right w:val="single" w:color="5B9BD5" w:sz="4" w:space="0"/>
          <w:insideH w:val="none" w:color="000000" w:sz="4" w:space="0"/>
          <w:insideV w:val="none" w:color="000000" w:sz="4" w:space="0"/>
        </w:tcBorders>
      </w:tcPr>
    </w:tblStylePr>
    <w:tblStylePr w:type="firstRow">
      <w:tcPr>
        <w:shd w:val="clear" w:color="5b9bd5" w:fill="5b9bd5"/>
      </w:tcPr>
    </w:tblStylePr>
  </w:style>
  <w:style w:type="table" w:styleId="793" w:customStyle="1">
    <w:name w:val="List Table 3 - Accent 2"/>
    <w:basedOn w:val="645"/>
    <w:uiPriority w:val="0"/>
    <w:qFormat/>
    <w:pPr>
      <w:spacing w:after="0" w:line="240" w:lineRule="auto"/>
    </w:pPr>
    <w:rPr>
      <w:rFonts w:ascii="Times New Roman" w:hAnsi="Times New Roman" w:eastAsia="宋体" w:cs="Times New Roman"/>
    </w:rPr>
    <w:tblPr>
      <w:tblBorders>
        <w:top w:val="single" w:color="F4B285" w:sz="4" w:space="0"/>
        <w:left w:val="single" w:color="F4B285" w:sz="4" w:space="0"/>
        <w:bottom w:val="single" w:color="F4B285" w:sz="4" w:space="0"/>
        <w:right w:val="single" w:color="F4B285" w:sz="4" w:space="0"/>
      </w:tblBorders>
    </w:tblPr>
    <w:tblStylePr w:type="band1Horz">
      <w:tcPr>
        <w:tcBorders>
          <w:top w:val="single" w:color="F4B285" w:sz="4" w:space="0"/>
          <w:left w:val="single" w:color="F4B285"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F4B285" w:sz="4" w:space="0"/>
          <w:right w:val="single" w:color="F4B285" w:sz="4" w:space="0"/>
          <w:insideH w:val="none" w:color="000000" w:sz="4" w:space="0"/>
          <w:insideV w:val="none" w:color="000000" w:sz="4" w:space="0"/>
        </w:tcBorders>
      </w:tcPr>
    </w:tblStylePr>
    <w:tblStylePr w:type="firstRow">
      <w:tcPr>
        <w:shd w:val="clear" w:color="f4b285" w:fill="f4b285"/>
      </w:tcPr>
    </w:tblStylePr>
  </w:style>
  <w:style w:type="table" w:styleId="794" w:customStyle="1">
    <w:name w:val="List Table 3 - Accent 3"/>
    <w:basedOn w:val="645"/>
    <w:uiPriority w:val="0"/>
    <w:qFormat/>
    <w:pPr>
      <w:spacing w:after="0" w:line="240" w:lineRule="auto"/>
    </w:pPr>
    <w:rPr>
      <w:rFonts w:ascii="Times New Roman" w:hAnsi="Times New Roman" w:eastAsia="宋体" w:cs="Times New Roman"/>
    </w:rPr>
    <w:tblPr>
      <w:tblBorders>
        <w:top w:val="single" w:color="C9C9C9" w:sz="4" w:space="0"/>
        <w:left w:val="single" w:color="C9C9C9" w:sz="4" w:space="0"/>
        <w:bottom w:val="single" w:color="C9C9C9" w:sz="4" w:space="0"/>
        <w:right w:val="single" w:color="C9C9C9" w:sz="4" w:space="0"/>
      </w:tblBorders>
    </w:tblPr>
    <w:tblStylePr w:type="band1Horz">
      <w:tcPr>
        <w:tcBorders>
          <w:top w:val="single" w:color="C9C9C9" w:sz="4" w:space="0"/>
          <w:left w:val="single" w:color="C9C9C9"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C9C9C9" w:sz="4" w:space="0"/>
          <w:right w:val="single" w:color="C9C9C9" w:sz="4" w:space="0"/>
          <w:insideH w:val="none" w:color="000000" w:sz="4" w:space="0"/>
          <w:insideV w:val="none" w:color="000000" w:sz="4" w:space="0"/>
        </w:tcBorders>
      </w:tcPr>
    </w:tblStylePr>
    <w:tblStylePr w:type="firstRow">
      <w:tcPr>
        <w:shd w:val="clear" w:color="c9c9c9" w:fill="c9c9c9"/>
      </w:tcPr>
    </w:tblStylePr>
  </w:style>
  <w:style w:type="table" w:styleId="795" w:customStyle="1">
    <w:name w:val="List Table 3 - Accent 4"/>
    <w:basedOn w:val="645"/>
    <w:uiPriority w:val="0"/>
    <w:qFormat/>
    <w:pPr>
      <w:spacing w:after="0" w:line="240" w:lineRule="auto"/>
    </w:pPr>
    <w:rPr>
      <w:rFonts w:ascii="Times New Roman" w:hAnsi="Times New Roman" w:eastAsia="宋体" w:cs="Times New Roman"/>
    </w:rPr>
    <w:tblPr>
      <w:tblBorders>
        <w:top w:val="single" w:color="FFD864" w:sz="4" w:space="0"/>
        <w:left w:val="single" w:color="FFD864" w:sz="4" w:space="0"/>
        <w:bottom w:val="single" w:color="FFD864" w:sz="4" w:space="0"/>
        <w:right w:val="single" w:color="FFD864" w:sz="4" w:space="0"/>
      </w:tblBorders>
    </w:tblPr>
    <w:tblStylePr w:type="band1Horz">
      <w:tcPr>
        <w:tcBorders>
          <w:top w:val="single" w:color="FFD864" w:sz="4" w:space="0"/>
          <w:left w:val="single" w:color="FFD864"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FFD864" w:sz="4" w:space="0"/>
          <w:right w:val="single" w:color="FFD864" w:sz="4" w:space="0"/>
          <w:insideH w:val="none" w:color="000000" w:sz="4" w:space="0"/>
          <w:insideV w:val="none" w:color="000000" w:sz="4" w:space="0"/>
        </w:tcBorders>
      </w:tcPr>
    </w:tblStylePr>
    <w:tblStylePr w:type="firstRow">
      <w:tcPr>
        <w:shd w:val="clear" w:color="ffd864" w:fill="ffd864"/>
      </w:tcPr>
    </w:tblStylePr>
  </w:style>
  <w:style w:type="table" w:styleId="796" w:customStyle="1">
    <w:name w:val="List Table 3 - Accent 5"/>
    <w:basedOn w:val="645"/>
    <w:uiPriority w:val="0"/>
    <w:qFormat/>
    <w:pPr>
      <w:spacing w:after="0" w:line="240" w:lineRule="auto"/>
    </w:pPr>
    <w:rPr>
      <w:rFonts w:ascii="Times New Roman" w:hAnsi="Times New Roman" w:eastAsia="宋体" w:cs="Times New Roman"/>
    </w:rPr>
    <w:tblPr>
      <w:tblBorders>
        <w:top w:val="single" w:color="8EA9DB" w:sz="4" w:space="0"/>
        <w:left w:val="single" w:color="8EA9DB" w:sz="4" w:space="0"/>
        <w:bottom w:val="single" w:color="8EA9DB" w:sz="4" w:space="0"/>
        <w:right w:val="single" w:color="8EA9DB" w:sz="4" w:space="0"/>
      </w:tblBorders>
    </w:tblPr>
    <w:tblStylePr w:type="band1Horz">
      <w:tcPr>
        <w:tcBorders>
          <w:top w:val="single" w:color="8EA9DB" w:sz="4" w:space="0"/>
          <w:left w:val="single" w:color="8EA9DB"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8EA9DB" w:sz="4" w:space="0"/>
          <w:right w:val="single" w:color="8EA9DB" w:sz="4" w:space="0"/>
          <w:insideH w:val="none" w:color="000000" w:sz="4" w:space="0"/>
          <w:insideV w:val="none" w:color="000000" w:sz="4" w:space="0"/>
        </w:tcBorders>
      </w:tcPr>
    </w:tblStylePr>
    <w:tblStylePr w:type="firstRow">
      <w:tcPr>
        <w:shd w:val="clear" w:color="8ea9db" w:fill="8ea9db"/>
      </w:tcPr>
    </w:tblStylePr>
  </w:style>
  <w:style w:type="table" w:styleId="797" w:customStyle="1">
    <w:name w:val="List Table 3 - Accent 6"/>
    <w:basedOn w:val="645"/>
    <w:uiPriority w:val="0"/>
    <w:qFormat/>
    <w:pPr>
      <w:spacing w:after="0" w:line="240" w:lineRule="auto"/>
    </w:pPr>
    <w:rPr>
      <w:rFonts w:ascii="Times New Roman" w:hAnsi="Times New Roman" w:eastAsia="宋体" w:cs="Times New Roman"/>
    </w:rPr>
    <w:tblPr>
      <w:tblBorders>
        <w:top w:val="single" w:color="A9D08E" w:sz="4" w:space="0"/>
        <w:left w:val="single" w:color="A9D08E" w:sz="4" w:space="0"/>
        <w:bottom w:val="single" w:color="A9D08E" w:sz="4" w:space="0"/>
        <w:right w:val="single" w:color="A9D08E" w:sz="4" w:space="0"/>
      </w:tblBorders>
    </w:tblPr>
    <w:tblStylePr w:type="band1Horz">
      <w:tcPr>
        <w:tcBorders>
          <w:top w:val="single" w:color="A9D08E" w:sz="4" w:space="0"/>
          <w:left w:val="single" w:color="A9D08E"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A9D08E" w:sz="4" w:space="0"/>
          <w:right w:val="single" w:color="A9D08E" w:sz="4" w:space="0"/>
          <w:insideH w:val="none" w:color="000000" w:sz="4" w:space="0"/>
          <w:insideV w:val="none" w:color="000000" w:sz="4" w:space="0"/>
        </w:tcBorders>
      </w:tcPr>
    </w:tblStylePr>
    <w:tblStylePr w:type="firstRow">
      <w:tcPr>
        <w:shd w:val="clear" w:color="a9d08e" w:fill="a9d08e"/>
      </w:tcPr>
    </w:tblStylePr>
  </w:style>
  <w:style w:type="table" w:styleId="798" w:customStyle="1">
    <w:name w:val="List Table 4"/>
    <w:basedOn w:val="645"/>
    <w:uiPriority w:val="0"/>
    <w:qFormat/>
    <w:pPr>
      <w:spacing w:after="0" w:line="240" w:lineRule="auto"/>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tcPr>
        <w:shd w:val="clear" w:color="bebebe" w:fill="bebebe"/>
      </w:tcPr>
    </w:tblStylePr>
    <w:tblStylePr w:type="band1Vert">
      <w:tcPr>
        <w:shd w:val="clear" w:color="bebebe" w:fill="bebebe"/>
      </w:tcPr>
    </w:tblStylePr>
    <w:tblStylePr w:type="firstRow">
      <w:tcPr>
        <w:shd w:val="clear" w:color="000000" w:fill="000000"/>
      </w:tcPr>
    </w:tblStylePr>
  </w:style>
  <w:style w:type="table" w:styleId="799" w:customStyle="1">
    <w:name w:val="List Table 4 - Accent 1"/>
    <w:basedOn w:val="645"/>
    <w:uiPriority w:val="0"/>
    <w:qFormat/>
    <w:pPr>
      <w:spacing w:after="0" w:line="240" w:lineRule="auto"/>
    </w:pPr>
    <w:rPr>
      <w:rFonts w:ascii="Times New Roman" w:hAnsi="Times New Roman" w:eastAsia="宋体" w:cs="Times New Roman"/>
    </w:rPr>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tcPr>
        <w:shd w:val="clear" w:color="d5e5f4" w:fill="d5e5f4"/>
      </w:tcPr>
    </w:tblStylePr>
    <w:tblStylePr w:type="band1Vert">
      <w:tcPr>
        <w:shd w:val="clear" w:color="d5e5f4" w:fill="d5e5f4"/>
      </w:tcPr>
    </w:tblStylePr>
    <w:tblStylePr w:type="firstRow">
      <w:tcPr>
        <w:shd w:val="clear" w:color="5b9bd5" w:fill="5b9bd5"/>
      </w:tcPr>
    </w:tblStylePr>
  </w:style>
  <w:style w:type="table" w:styleId="800" w:customStyle="1">
    <w:name w:val="List Table 4 - Accent 2"/>
    <w:basedOn w:val="645"/>
    <w:uiPriority w:val="0"/>
    <w:qFormat/>
    <w:pPr>
      <w:spacing w:after="0" w:line="240" w:lineRule="auto"/>
    </w:pPr>
    <w:rPr>
      <w:rFonts w:ascii="Times New Roman" w:hAnsi="Times New Roman" w:eastAsia="宋体" w:cs="Times New Roman"/>
    </w:rPr>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tcPr>
        <w:shd w:val="clear" w:color="fadecb" w:fill="fadecb"/>
      </w:tcPr>
    </w:tblStylePr>
    <w:tblStylePr w:type="band1Vert">
      <w:tcPr>
        <w:shd w:val="clear" w:color="fadecb" w:fill="fadecb"/>
      </w:tcPr>
    </w:tblStylePr>
    <w:tblStylePr w:type="firstRow">
      <w:tcPr>
        <w:shd w:val="clear" w:color="ed7d31" w:fill="ed7d31"/>
      </w:tcPr>
    </w:tblStylePr>
  </w:style>
  <w:style w:type="table" w:styleId="801" w:customStyle="1">
    <w:name w:val="List Table 4 - Accent 3"/>
    <w:basedOn w:val="645"/>
    <w:uiPriority w:val="0"/>
    <w:qFormat/>
    <w:pPr>
      <w:spacing w:after="0" w:line="240" w:lineRule="auto"/>
    </w:pPr>
    <w:rPr>
      <w:rFonts w:ascii="Times New Roman" w:hAnsi="Times New Roman" w:eastAsia="宋体" w:cs="Times New Roman"/>
    </w:rPr>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tcPr>
        <w:shd w:val="clear" w:color="e8e8e8" w:fill="e8e8e8"/>
      </w:tcPr>
    </w:tblStylePr>
    <w:tblStylePr w:type="band1Vert">
      <w:tcPr>
        <w:shd w:val="clear" w:color="e8e8e8" w:fill="e8e8e8"/>
      </w:tcPr>
    </w:tblStylePr>
    <w:tblStylePr w:type="firstRow">
      <w:tcPr>
        <w:shd w:val="clear" w:color="a5a5a5" w:fill="a5a5a5"/>
      </w:tcPr>
    </w:tblStylePr>
  </w:style>
  <w:style w:type="table" w:styleId="802" w:customStyle="1">
    <w:name w:val="List Table 4 - Accent 4"/>
    <w:basedOn w:val="645"/>
    <w:uiPriority w:val="0"/>
    <w:qFormat/>
    <w:pPr>
      <w:spacing w:after="0" w:line="240" w:lineRule="auto"/>
    </w:pPr>
    <w:rPr>
      <w:rFonts w:ascii="Times New Roman" w:hAnsi="Times New Roman" w:eastAsia="宋体" w:cs="Times New Roman"/>
    </w:rPr>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tcPr>
        <w:shd w:val="clear" w:color="ffefbe" w:fill="ffefbe"/>
      </w:tcPr>
    </w:tblStylePr>
    <w:tblStylePr w:type="band1Vert">
      <w:tcPr>
        <w:shd w:val="clear" w:color="ffefbe" w:fill="ffefbe"/>
      </w:tcPr>
    </w:tblStylePr>
    <w:tblStylePr w:type="firstRow">
      <w:tcPr>
        <w:shd w:val="clear" w:color="ffc000" w:fill="ffc000"/>
      </w:tcPr>
    </w:tblStylePr>
  </w:style>
  <w:style w:type="table" w:styleId="803" w:customStyle="1">
    <w:name w:val="List Table 4 - Accent 5"/>
    <w:basedOn w:val="645"/>
    <w:uiPriority w:val="0"/>
    <w:qFormat/>
    <w:pPr>
      <w:spacing w:after="0" w:line="240" w:lineRule="auto"/>
    </w:pPr>
    <w:rPr>
      <w:rFonts w:ascii="Times New Roman" w:hAnsi="Times New Roman" w:eastAsia="宋体" w:cs="Times New Roman"/>
    </w:rPr>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tcPr>
        <w:shd w:val="clear" w:color="d0dbf0" w:fill="d0dbf0"/>
      </w:tcPr>
    </w:tblStylePr>
    <w:tblStylePr w:type="band1Vert">
      <w:tcPr>
        <w:shd w:val="clear" w:color="d0dbf0" w:fill="d0dbf0"/>
      </w:tcPr>
    </w:tblStylePr>
    <w:tblStylePr w:type="firstRow">
      <w:tcPr>
        <w:shd w:val="clear" w:color="4472c4" w:fill="4472c4"/>
      </w:tcPr>
    </w:tblStylePr>
  </w:style>
  <w:style w:type="table" w:styleId="804" w:customStyle="1">
    <w:name w:val="List Table 4 - Accent 6"/>
    <w:basedOn w:val="645"/>
    <w:uiPriority w:val="0"/>
    <w:qFormat/>
    <w:pPr>
      <w:spacing w:after="0" w:line="240" w:lineRule="auto"/>
    </w:pPr>
    <w:rPr>
      <w:rFonts w:ascii="Times New Roman" w:hAnsi="Times New Roman" w:eastAsia="宋体" w:cs="Times New Roman"/>
    </w:rPr>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tcPr>
        <w:shd w:val="clear" w:color="daebcf" w:fill="daebcf"/>
      </w:tcPr>
    </w:tblStylePr>
    <w:tblStylePr w:type="band1Vert">
      <w:tcPr>
        <w:shd w:val="clear" w:color="daebcf" w:fill="daebcf"/>
      </w:tcPr>
    </w:tblStylePr>
    <w:tblStylePr w:type="firstRow">
      <w:tcPr>
        <w:shd w:val="clear" w:color="70ad47" w:fill="70ad47"/>
      </w:tcPr>
    </w:tblStylePr>
  </w:style>
  <w:style w:type="table" w:styleId="805" w:customStyle="1">
    <w:name w:val="List Table 5 Dark"/>
    <w:basedOn w:val="645"/>
    <w:uiPriority w:val="0"/>
    <w:qFormat/>
    <w:pPr>
      <w:spacing w:after="0" w:line="240" w:lineRule="auto"/>
    </w:pPr>
    <w:rPr>
      <w:rFonts w:ascii="Times New Roman" w:hAnsi="Times New Roman" w:eastAsia="宋体" w:cs="Times New Roman"/>
    </w:r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style>
  <w:style w:type="table" w:styleId="806" w:customStyle="1">
    <w:name w:val="List Table 5 Dark - Accent 1"/>
    <w:basedOn w:val="645"/>
    <w:uiPriority w:val="0"/>
    <w:qFormat/>
    <w:pPr>
      <w:spacing w:after="0" w:line="240" w:lineRule="auto"/>
    </w:pPr>
    <w:rPr>
      <w:rFonts w:ascii="Times New Roman" w:hAnsi="Times New Roman" w:eastAsia="宋体" w:cs="Times New Roman"/>
    </w:rPr>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5b9bd5" w:fill="5b9bd5"/>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5b9bd5" w:fill="5b9bd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5B9BD5" w:sz="32" w:space="0"/>
          <w:right w:val="single" w:color="FFFFFF" w:sz="4" w:space="0"/>
          <w:insideH w:val="none" w:color="000000" w:sz="4" w:space="0"/>
          <w:insideV w:val="none" w:color="000000" w:sz="4" w:space="0"/>
        </w:tcBorders>
      </w:tcPr>
    </w:tblStylePr>
    <w:tblStylePr w:type="firstRow">
      <w:tcPr>
        <w:shd w:val="clear" w:color="5b9bd5" w:fill="5b9bd5"/>
        <w:tcBorders>
          <w:top w:val="single" w:color="5B9BD5"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5B9BD5" w:sz="32" w:space="0"/>
          <w:insideH w:val="none" w:color="000000" w:sz="4" w:space="0"/>
          <w:insideV w:val="none" w:color="000000" w:sz="4" w:space="0"/>
        </w:tcBorders>
      </w:tcPr>
    </w:tblStylePr>
  </w:style>
  <w:style w:type="table" w:styleId="807" w:customStyle="1">
    <w:name w:val="List Table 5 Dark - Accent 2"/>
    <w:basedOn w:val="645"/>
    <w:uiPriority w:val="0"/>
    <w:qFormat/>
    <w:pPr>
      <w:spacing w:after="0" w:line="240" w:lineRule="auto"/>
    </w:pPr>
    <w:rPr>
      <w:rFonts w:ascii="Times New Roman" w:hAnsi="Times New Roman" w:eastAsia="宋体" w:cs="Times New Roman"/>
    </w:rPr>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f4b285" w:fill="f4b285"/>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f4b285" w:fill="f4b28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F4B285" w:sz="32" w:space="0"/>
          <w:right w:val="single" w:color="FFFFFF" w:sz="4" w:space="0"/>
          <w:insideH w:val="none" w:color="000000" w:sz="4" w:space="0"/>
          <w:insideV w:val="none" w:color="000000" w:sz="4" w:space="0"/>
        </w:tcBorders>
      </w:tcPr>
    </w:tblStylePr>
    <w:tblStylePr w:type="firstRow">
      <w:tcPr>
        <w:shd w:val="clear" w:color="f4b285" w:fill="f4b285"/>
        <w:tcBorders>
          <w:top w:val="single" w:color="F4B285"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F4B285" w:sz="32" w:space="0"/>
          <w:insideH w:val="none" w:color="000000" w:sz="4" w:space="0"/>
          <w:insideV w:val="none" w:color="000000" w:sz="4" w:space="0"/>
        </w:tcBorders>
      </w:tcPr>
    </w:tblStylePr>
  </w:style>
  <w:style w:type="table" w:styleId="808" w:customStyle="1">
    <w:name w:val="List Table 5 Dark - Accent 3"/>
    <w:basedOn w:val="645"/>
    <w:uiPriority w:val="0"/>
    <w:qFormat/>
    <w:pPr>
      <w:spacing w:after="0" w:line="240" w:lineRule="auto"/>
    </w:pPr>
    <w:rPr>
      <w:rFonts w:ascii="Times New Roman" w:hAnsi="Times New Roman" w:eastAsia="宋体" w:cs="Times New Roman"/>
    </w:rPr>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c9c9c9" w:fill="c9c9c9"/>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c9c9c9" w:fill="c9c9c9"/>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C9C9C9" w:sz="32" w:space="0"/>
          <w:right w:val="single" w:color="FFFFFF" w:sz="4" w:space="0"/>
          <w:insideH w:val="none" w:color="000000" w:sz="4" w:space="0"/>
          <w:insideV w:val="none" w:color="000000" w:sz="4" w:space="0"/>
        </w:tcBorders>
      </w:tcPr>
    </w:tblStylePr>
    <w:tblStylePr w:type="firstRow">
      <w:tcPr>
        <w:shd w:val="clear" w:color="c9c9c9" w:fill="c9c9c9"/>
        <w:tcBorders>
          <w:top w:val="single" w:color="C9C9C9"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C9C9C9" w:sz="32" w:space="0"/>
          <w:insideH w:val="none" w:color="000000" w:sz="4" w:space="0"/>
          <w:insideV w:val="none" w:color="000000" w:sz="4" w:space="0"/>
        </w:tcBorders>
      </w:tcPr>
    </w:tblStylePr>
  </w:style>
  <w:style w:type="table" w:styleId="809" w:customStyle="1">
    <w:name w:val="List Table 5 Dark - Accent 4"/>
    <w:basedOn w:val="645"/>
    <w:uiPriority w:val="0"/>
    <w:qFormat/>
    <w:pPr>
      <w:spacing w:after="0" w:line="240" w:lineRule="auto"/>
    </w:pPr>
    <w:rPr>
      <w:rFonts w:ascii="Times New Roman" w:hAnsi="Times New Roman" w:eastAsia="宋体" w:cs="Times New Roman"/>
    </w:rPr>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ffd864" w:fill="ffd864"/>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ffd864" w:fill="ffd864"/>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FFD864" w:sz="32" w:space="0"/>
          <w:right w:val="single" w:color="FFFFFF" w:sz="4" w:space="0"/>
          <w:insideH w:val="none" w:color="000000" w:sz="4" w:space="0"/>
          <w:insideV w:val="none" w:color="000000" w:sz="4" w:space="0"/>
        </w:tcBorders>
      </w:tcPr>
    </w:tblStylePr>
    <w:tblStylePr w:type="firstRow">
      <w:tcPr>
        <w:shd w:val="clear" w:color="ffd864" w:fill="ffd864"/>
        <w:tcBorders>
          <w:top w:val="single" w:color="FFD864"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FFD864" w:sz="32" w:space="0"/>
          <w:insideH w:val="none" w:color="000000" w:sz="4" w:space="0"/>
          <w:insideV w:val="none" w:color="000000" w:sz="4" w:space="0"/>
        </w:tcBorders>
      </w:tcPr>
    </w:tblStylePr>
  </w:style>
  <w:style w:type="table" w:styleId="810" w:customStyle="1">
    <w:name w:val="List Table 5 Dark - Accent 5"/>
    <w:basedOn w:val="645"/>
    <w:uiPriority w:val="0"/>
    <w:qFormat/>
    <w:pPr>
      <w:spacing w:after="0" w:line="240" w:lineRule="auto"/>
    </w:pPr>
    <w:rPr>
      <w:rFonts w:ascii="Times New Roman" w:hAnsi="Times New Roman" w:eastAsia="宋体" w:cs="Times New Roman"/>
    </w:rPr>
    <w:tblPr>
      <w:tblBorders>
        <w:top w:val="single" w:color="8EA9DB" w:sz="32" w:space="0"/>
        <w:left w:val="single" w:color="8EA9DB" w:sz="32" w:space="0"/>
        <w:bottom w:val="single" w:color="8EA9DB" w:sz="32" w:space="0"/>
        <w:right w:val="single" w:color="8EA9DB" w:sz="32" w:space="0"/>
      </w:tblBorders>
    </w:tblPr>
    <w:tblStylePr w:type="band1Horz">
      <w:tcPr>
        <w:shd w:val="clear" w:color="8ea9db" w:fill="8ea9db"/>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8ea9db" w:fill="8ea9db"/>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8ea9db" w:fill="8ea9db"/>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8EA9DB" w:sz="32" w:space="0"/>
          <w:right w:val="single" w:color="FFFFFF" w:sz="4" w:space="0"/>
          <w:insideH w:val="none" w:color="000000" w:sz="4" w:space="0"/>
          <w:insideV w:val="none" w:color="000000" w:sz="4" w:space="0"/>
        </w:tcBorders>
      </w:tcPr>
    </w:tblStylePr>
    <w:tblStylePr w:type="firstRow">
      <w:tcPr>
        <w:shd w:val="clear" w:color="8ea9db" w:fill="8ea9db"/>
        <w:tcBorders>
          <w:top w:val="single" w:color="8EA9DB"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8EA9DB" w:sz="32" w:space="0"/>
          <w:insideH w:val="none" w:color="000000" w:sz="4" w:space="0"/>
          <w:insideV w:val="none" w:color="000000" w:sz="4" w:space="0"/>
        </w:tcBorders>
      </w:tcPr>
    </w:tblStylePr>
  </w:style>
  <w:style w:type="table" w:styleId="811" w:customStyle="1">
    <w:name w:val="List Table 5 Dark - Accent 6"/>
    <w:basedOn w:val="645"/>
    <w:uiPriority w:val="0"/>
    <w:qFormat/>
    <w:pPr>
      <w:spacing w:after="0" w:line="240" w:lineRule="auto"/>
    </w:pPr>
    <w:rPr>
      <w:rFonts w:ascii="Times New Roman" w:hAnsi="Times New Roman" w:eastAsia="宋体" w:cs="Times New Roman"/>
    </w:rPr>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a9d08e" w:fill="a9d08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a9d08e" w:fill="a9d08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A9D08E" w:sz="32" w:space="0"/>
          <w:right w:val="single" w:color="FFFFFF" w:sz="4" w:space="0"/>
          <w:insideH w:val="none" w:color="000000" w:sz="4" w:space="0"/>
          <w:insideV w:val="none" w:color="000000" w:sz="4" w:space="0"/>
        </w:tcBorders>
      </w:tcPr>
    </w:tblStylePr>
    <w:tblStylePr w:type="firstRow">
      <w:tcPr>
        <w:shd w:val="clear" w:color="a9d08e" w:fill="a9d08e"/>
        <w:tcBorders>
          <w:top w:val="single" w:color="A9D08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A9D08E" w:sz="32" w:space="0"/>
          <w:insideH w:val="none" w:color="000000" w:sz="4" w:space="0"/>
          <w:insideV w:val="none" w:color="000000" w:sz="4" w:space="0"/>
        </w:tcBorders>
      </w:tcPr>
    </w:tblStylePr>
  </w:style>
  <w:style w:type="table" w:styleId="812" w:customStyle="1">
    <w:name w:val="List Table 6 Colorful"/>
    <w:basedOn w:val="645"/>
    <w:uiPriority w:val="0"/>
    <w:qFormat/>
    <w:pPr>
      <w:spacing w:after="0" w:line="240" w:lineRule="auto"/>
    </w:pPr>
    <w:rPr>
      <w:rFonts w:ascii="Times New Roman" w:hAnsi="Times New Roman" w:eastAsia="宋体" w:cs="Times New Roman"/>
    </w:rPr>
    <w:tblPr>
      <w:tblBorders>
        <w:top w:val="single" w:color="7E7E7E" w:sz="4" w:space="0"/>
        <w:bottom w:val="single" w:color="7E7E7E" w:sz="4" w:space="0"/>
      </w:tblBorders>
    </w:tblPr>
    <w:tblStylePr w:type="band1Horz">
      <w:tcPr>
        <w:shd w:val="clear" w:color="bebebe" w:fill="bebebe"/>
      </w:tcPr>
    </w:tblStylePr>
    <w:tblStylePr w:type="band1Vert">
      <w:tcPr>
        <w:shd w:val="clear" w:color="bebebe" w:fill="bebebe"/>
      </w:tcPr>
    </w:tblStylePr>
    <w:tblStylePr w:type="firstRow">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3" w:customStyle="1">
    <w:name w:val="List Table 6 Colorful - Accent 1"/>
    <w:basedOn w:val="645"/>
    <w:uiPriority w:val="0"/>
    <w:qFormat/>
    <w:pPr>
      <w:spacing w:after="0" w:line="240" w:lineRule="auto"/>
    </w:pPr>
    <w:rPr>
      <w:rFonts w:ascii="Times New Roman" w:hAnsi="Times New Roman" w:eastAsia="宋体" w:cs="Times New Roman"/>
    </w:rPr>
    <w:tblPr>
      <w:tblBorders>
        <w:top w:val="single" w:color="5B9BD5" w:sz="4" w:space="0"/>
        <w:bottom w:val="single" w:color="5B9BD5" w:sz="4" w:space="0"/>
      </w:tblBorders>
    </w:tblPr>
    <w:tblStylePr w:type="band1Horz">
      <w:tcPr>
        <w:shd w:val="clear" w:color="d5e5f4" w:fill="d5e5f4"/>
      </w:tcPr>
    </w:tblStylePr>
    <w:tblStylePr w:type="band1Vert">
      <w:tcPr>
        <w:shd w:val="clear" w:color="d5e5f4" w:fill="d5e5f4"/>
      </w:tcPr>
    </w:tblStylePr>
    <w:tblStylePr w:type="firstRow">
      <w:tcPr>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List Table 6 Colorful - Accent 2"/>
    <w:basedOn w:val="645"/>
    <w:uiPriority w:val="0"/>
    <w:qFormat/>
    <w:pPr>
      <w:spacing w:after="0" w:line="240" w:lineRule="auto"/>
    </w:pPr>
    <w:rPr>
      <w:rFonts w:ascii="Times New Roman" w:hAnsi="Times New Roman" w:eastAsia="宋体" w:cs="Times New Roman"/>
    </w:rPr>
    <w:tblPr>
      <w:tblBorders>
        <w:top w:val="single" w:color="F4B285" w:sz="4" w:space="0"/>
        <w:bottom w:val="single" w:color="F4B285" w:sz="4" w:space="0"/>
      </w:tblBorders>
    </w:tblPr>
    <w:tblStylePr w:type="band1Horz">
      <w:tcPr>
        <w:shd w:val="clear" w:color="fadecb" w:fill="fadecb"/>
      </w:tcPr>
    </w:tblStylePr>
    <w:tblStylePr w:type="band1Vert">
      <w:tcPr>
        <w:shd w:val="clear" w:color="fadecb" w:fill="fadecb"/>
      </w:tcPr>
    </w:tblStylePr>
    <w:tblStylePr w:type="firstRow">
      <w:tcPr>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5" w:customStyle="1">
    <w:name w:val="List Table 6 Colorful - Accent 3"/>
    <w:basedOn w:val="645"/>
    <w:uiPriority w:val="0"/>
    <w:qFormat/>
    <w:pPr>
      <w:spacing w:after="0" w:line="240" w:lineRule="auto"/>
    </w:pPr>
    <w:rPr>
      <w:rFonts w:ascii="Times New Roman" w:hAnsi="Times New Roman" w:eastAsia="宋体" w:cs="Times New Roman"/>
    </w:rPr>
    <w:tblPr>
      <w:tblBorders>
        <w:top w:val="single" w:color="C9C9C9" w:sz="4" w:space="0"/>
        <w:bottom w:val="single" w:color="C9C9C9" w:sz="4" w:space="0"/>
      </w:tblBorders>
    </w:tblPr>
    <w:tblStylePr w:type="band1Horz">
      <w:tcPr>
        <w:shd w:val="clear" w:color="e8e8e8" w:fill="e8e8e8"/>
      </w:tcPr>
    </w:tblStylePr>
    <w:tblStylePr w:type="band1Vert">
      <w:tcPr>
        <w:shd w:val="clear" w:color="e8e8e8" w:fill="e8e8e8"/>
      </w:tcPr>
    </w:tblStylePr>
    <w:tblStylePr w:type="firstRow">
      <w:tcPr>
        <w:tcBorders>
          <w:top w:val="none" w:color="000000" w:sz="4" w:space="0"/>
          <w:left w:val="single" w:color="C9C9C9"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6" w:customStyle="1">
    <w:name w:val="List Table 6 Colorful - Accent 4"/>
    <w:basedOn w:val="645"/>
    <w:uiPriority w:val="0"/>
    <w:qFormat/>
    <w:pPr>
      <w:spacing w:after="0" w:line="240" w:lineRule="auto"/>
    </w:pPr>
    <w:rPr>
      <w:rFonts w:ascii="Times New Roman" w:hAnsi="Times New Roman" w:eastAsia="宋体" w:cs="Times New Roman"/>
    </w:rPr>
    <w:tblPr>
      <w:tblBorders>
        <w:top w:val="single" w:color="FFD864" w:sz="4" w:space="0"/>
        <w:bottom w:val="single" w:color="FFD864" w:sz="4" w:space="0"/>
      </w:tblBorders>
    </w:tblPr>
    <w:tblStylePr w:type="band1Horz">
      <w:tcPr>
        <w:shd w:val="clear" w:color="ffefbe" w:fill="ffefbe"/>
      </w:tcPr>
    </w:tblStylePr>
    <w:tblStylePr w:type="band1Vert">
      <w:tcPr>
        <w:shd w:val="clear" w:color="ffefbe" w:fill="ffefbe"/>
      </w:tcPr>
    </w:tblStylePr>
    <w:tblStylePr w:type="firstRow">
      <w:tcPr>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7" w:customStyle="1">
    <w:name w:val="List Table 6 Colorful - Accent 5"/>
    <w:basedOn w:val="645"/>
    <w:uiPriority w:val="0"/>
    <w:qFormat/>
    <w:pPr>
      <w:spacing w:after="0" w:line="240" w:lineRule="auto"/>
    </w:pPr>
    <w:rPr>
      <w:rFonts w:ascii="Times New Roman" w:hAnsi="Times New Roman" w:eastAsia="宋体" w:cs="Times New Roman"/>
    </w:rPr>
    <w:tblPr>
      <w:tblBorders>
        <w:top w:val="single" w:color="8EA9DB" w:sz="4" w:space="0"/>
        <w:bottom w:val="single" w:color="8EA9DB" w:sz="4" w:space="0"/>
      </w:tblBorders>
    </w:tblPr>
    <w:tblStylePr w:type="band1Horz">
      <w:tcPr>
        <w:shd w:val="clear" w:color="d0dbf0" w:fill="d0dbf0"/>
      </w:tcPr>
    </w:tblStylePr>
    <w:tblStylePr w:type="band1Vert">
      <w:tcPr>
        <w:shd w:val="clear" w:color="d0dbf0" w:fill="d0dbf0"/>
      </w:tcPr>
    </w:tblStylePr>
    <w:tblStylePr w:type="firstRow">
      <w:tcPr>
        <w:tcBorders>
          <w:top w:val="none" w:color="000000" w:sz="4" w:space="0"/>
          <w:left w:val="single" w:color="8EA9DB"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8" w:customStyle="1">
    <w:name w:val="List Table 6 Colorful - Accent 6"/>
    <w:basedOn w:val="645"/>
    <w:uiPriority w:val="0"/>
    <w:qFormat/>
    <w:pPr>
      <w:spacing w:after="0" w:line="240" w:lineRule="auto"/>
    </w:pPr>
    <w:rPr>
      <w:rFonts w:ascii="Times New Roman" w:hAnsi="Times New Roman" w:eastAsia="宋体" w:cs="Times New Roman"/>
    </w:rPr>
    <w:tblPr>
      <w:tblBorders>
        <w:top w:val="single" w:color="A9D08E" w:sz="4" w:space="0"/>
        <w:bottom w:val="single" w:color="A9D08E" w:sz="4" w:space="0"/>
      </w:tblBorders>
    </w:tblPr>
    <w:tblStylePr w:type="band1Horz">
      <w:tcPr>
        <w:shd w:val="clear" w:color="daebcf" w:fill="daebcf"/>
      </w:tcPr>
    </w:tblStylePr>
    <w:tblStylePr w:type="band1Vert">
      <w:tcPr>
        <w:shd w:val="clear" w:color="daebcf" w:fill="daebcf"/>
      </w:tcPr>
    </w:tblStylePr>
    <w:tblStylePr w:type="firstRow">
      <w:tcPr>
        <w:tcBorders>
          <w:top w:val="none" w:color="000000" w:sz="4" w:space="0"/>
          <w:left w:val="single" w:color="A9D08E"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9" w:customStyle="1">
    <w:name w:val="List Table 7 Colorful"/>
    <w:basedOn w:val="645"/>
    <w:uiPriority w:val="0"/>
    <w:qFormat/>
    <w:pPr>
      <w:spacing w:after="0" w:line="240" w:lineRule="auto"/>
    </w:pPr>
    <w:rPr>
      <w:rFonts w:ascii="Times New Roman" w:hAnsi="Times New Roman" w:eastAsia="宋体" w:cs="Times New Roman"/>
    </w:rPr>
    <w:tblPr>
      <w:tblBorders>
        <w:right w:val="single" w:color="7E7E7E" w:sz="4" w:space="0"/>
      </w:tblBorders>
    </w:tblPr>
    <w:tblStylePr w:type="band1Horz">
      <w:tcPr>
        <w:shd w:val="clear" w:color="bebebe" w:fill="bebebe"/>
      </w:tcPr>
    </w:tblStylePr>
    <w:tblStylePr w:type="band1Vert">
      <w:tcPr>
        <w:shd w:val="clear" w:color="bebebe" w:fill="bebebe"/>
      </w:tcPr>
    </w:tblStylePr>
    <w:tblStylePr w:type="firstCol">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0" w:customStyle="1">
    <w:name w:val="List Table 7 Colorful - Accent 1"/>
    <w:basedOn w:val="645"/>
    <w:uiPriority w:val="0"/>
    <w:qFormat/>
    <w:pPr>
      <w:spacing w:after="0" w:line="240" w:lineRule="auto"/>
    </w:pPr>
    <w:rPr>
      <w:rFonts w:ascii="Times New Roman" w:hAnsi="Times New Roman" w:eastAsia="宋体" w:cs="Times New Roman"/>
    </w:rPr>
    <w:tblPr>
      <w:tblBorders>
        <w:right w:val="single" w:color="5B9BD5" w:sz="4" w:space="0"/>
      </w:tblBorders>
    </w:tblPr>
    <w:tblStylePr w:type="band1Horz">
      <w:tcPr>
        <w:shd w:val="clear" w:color="d5e5f4" w:fill="d5e5f4"/>
      </w:tcPr>
    </w:tblStylePr>
    <w:tblStylePr w:type="band1Vert">
      <w:tcPr>
        <w:shd w:val="clear" w:color="d5e5f4" w:fill="d5e5f4"/>
      </w:tcPr>
    </w:tblStylePr>
    <w:tblStylePr w:type="firstCol">
      <w:pPr>
        <w:jc w:val="right"/>
      </w:pPr>
      <w:tcPr>
        <w:shd w:val="clear" w:color="ffffff" w:fill="auto"/>
        <w:tcBorders>
          <w:top w:val="none" w:color="000000" w:sz="4" w:space="0"/>
          <w:left w:val="none" w:color="000000" w:sz="4" w:space="0"/>
          <w:bottom w:val="none" w:color="000000" w:sz="4" w:space="0"/>
          <w:right w:val="single" w:color="5B9BD5" w:sz="4" w:space="0"/>
          <w:insideH w:val="none" w:color="000000" w:sz="4" w:space="0"/>
          <w:insideV w:val="none" w:color="000000" w:sz="4" w:space="0"/>
        </w:tcBorders>
      </w:tcPr>
    </w:tblStylePr>
    <w:tblStylePr w:type="firstRow">
      <w:tcPr>
        <w:shd w:val="clear" w:color="ffffff" w:fill="ffffff"/>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Row">
      <w:tcPr>
        <w:shd w:val="clear" w:color="ffffff" w:fill="ffffff"/>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1" w:customStyle="1">
    <w:name w:val="List Table 7 Colorful - Accent 2"/>
    <w:basedOn w:val="645"/>
    <w:uiPriority w:val="0"/>
    <w:qFormat/>
    <w:pPr>
      <w:spacing w:after="0" w:line="240" w:lineRule="auto"/>
    </w:pPr>
    <w:rPr>
      <w:rFonts w:ascii="Times New Roman" w:hAnsi="Times New Roman" w:eastAsia="宋体" w:cs="Times New Roman"/>
    </w:rPr>
    <w:tblPr>
      <w:tblBorders>
        <w:right w:val="single" w:color="F4B285" w:sz="4" w:space="0"/>
      </w:tblBorders>
    </w:tblPr>
    <w:tblStylePr w:type="band1Horz">
      <w:tcPr>
        <w:shd w:val="clear" w:color="fadecb" w:fill="fadecb"/>
      </w:tcPr>
    </w:tblStylePr>
    <w:tblStylePr w:type="band1Vert">
      <w:tcPr>
        <w:shd w:val="clear" w:color="fadecb" w:fill="fadecb"/>
      </w:tcPr>
    </w:tblStylePr>
    <w:tblStylePr w:type="firstCol">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tcPr>
        <w:shd w:val="clear" w:color="ffffff" w:fill="ffffff"/>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Row">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2" w:customStyle="1">
    <w:name w:val="List Table 7 Colorful - Accent 3"/>
    <w:basedOn w:val="645"/>
    <w:uiPriority w:val="0"/>
    <w:qFormat/>
    <w:pPr>
      <w:spacing w:after="0" w:line="240" w:lineRule="auto"/>
    </w:pPr>
    <w:rPr>
      <w:rFonts w:ascii="Times New Roman" w:hAnsi="Times New Roman" w:eastAsia="宋体" w:cs="Times New Roman"/>
    </w:rPr>
    <w:tblPr>
      <w:tblBorders>
        <w:right w:val="single" w:color="C9C9C9" w:sz="4" w:space="0"/>
      </w:tblBorders>
    </w:tblPr>
    <w:tblStylePr w:type="band1Horz">
      <w:tcPr>
        <w:shd w:val="clear" w:color="e8e8e8" w:fill="e8e8e8"/>
      </w:tcPr>
    </w:tblStylePr>
    <w:tblStylePr w:type="band1Vert">
      <w:tcPr>
        <w:shd w:val="clear" w:color="e8e8e8" w:fill="e8e8e8"/>
      </w:tcPr>
    </w:tblStylePr>
    <w:tblStylePr w:type="firstCol">
      <w:pPr>
        <w:jc w:val="right"/>
      </w:pPr>
      <w:tcPr>
        <w:shd w:val="clear" w:color="ffffff" w:fill="auto"/>
        <w:tcBorders>
          <w:top w:val="none" w:color="000000" w:sz="4" w:space="0"/>
          <w:left w:val="none" w:color="000000" w:sz="4" w:space="0"/>
          <w:bottom w:val="none" w:color="000000" w:sz="4" w:space="0"/>
          <w:right w:val="single" w:color="C9C9C9" w:sz="4" w:space="0"/>
          <w:insideH w:val="none" w:color="000000" w:sz="4" w:space="0"/>
          <w:insideV w:val="none" w:color="000000" w:sz="4" w:space="0"/>
        </w:tcBorders>
      </w:tcPr>
    </w:tblStylePr>
    <w:tblStylePr w:type="firstRow">
      <w:tcPr>
        <w:shd w:val="clear" w:color="ffffff" w:fill="ffffff"/>
        <w:tcBorders>
          <w:top w:val="none" w:color="000000" w:sz="4" w:space="0"/>
          <w:left w:val="single" w:color="C9C9C9"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Row">
      <w:tcPr>
        <w:shd w:val="clear" w:color="ffffff" w:fill="ffffff"/>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3" w:customStyle="1">
    <w:name w:val="List Table 7 Colorful - Accent 4"/>
    <w:basedOn w:val="645"/>
    <w:uiPriority w:val="0"/>
    <w:qFormat/>
    <w:pPr>
      <w:spacing w:after="0" w:line="240" w:lineRule="auto"/>
    </w:pPr>
    <w:rPr>
      <w:rFonts w:ascii="Times New Roman" w:hAnsi="Times New Roman" w:eastAsia="宋体" w:cs="Times New Roman"/>
    </w:rPr>
    <w:tblPr>
      <w:tblBorders>
        <w:right w:val="single" w:color="FFD864" w:sz="4" w:space="0"/>
      </w:tblBorders>
    </w:tblPr>
    <w:tblStylePr w:type="band1Horz">
      <w:tcPr>
        <w:shd w:val="clear" w:color="ffefbe" w:fill="ffefbe"/>
      </w:tcPr>
    </w:tblStylePr>
    <w:tblStylePr w:type="band1Vert">
      <w:tcPr>
        <w:shd w:val="clear" w:color="ffefbe" w:fill="ffefbe"/>
      </w:tcPr>
    </w:tblStylePr>
    <w:tblStylePr w:type="firstCol">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tcPr>
        <w:shd w:val="clear" w:color="ffffff" w:fill="ffffff"/>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Row">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4" w:customStyle="1">
    <w:name w:val="List Table 7 Colorful - Accent 5"/>
    <w:basedOn w:val="645"/>
    <w:uiPriority w:val="0"/>
    <w:qFormat/>
    <w:pPr>
      <w:spacing w:after="0" w:line="240" w:lineRule="auto"/>
    </w:pPr>
    <w:rPr>
      <w:rFonts w:ascii="Times New Roman" w:hAnsi="Times New Roman" w:eastAsia="宋体" w:cs="Times New Roman"/>
    </w:rPr>
    <w:tblPr>
      <w:tblBorders>
        <w:right w:val="single" w:color="8EA9DB" w:sz="4" w:space="0"/>
      </w:tblBorders>
    </w:tblPr>
    <w:tblStylePr w:type="band1Horz">
      <w:tcPr>
        <w:shd w:val="clear" w:color="d0dbf0" w:fill="d0dbf0"/>
      </w:tcPr>
    </w:tblStylePr>
    <w:tblStylePr w:type="band1Vert">
      <w:tcPr>
        <w:shd w:val="clear" w:color="d0dbf0" w:fill="d0dbf0"/>
      </w:tcPr>
    </w:tblStylePr>
    <w:tblStylePr w:type="firstCol">
      <w:pPr>
        <w:jc w:val="right"/>
      </w:pPr>
      <w:tcPr>
        <w:shd w:val="clear" w:color="ffffff" w:fill="auto"/>
        <w:tcBorders>
          <w:top w:val="none" w:color="000000" w:sz="4" w:space="0"/>
          <w:left w:val="none" w:color="000000" w:sz="4" w:space="0"/>
          <w:bottom w:val="none" w:color="000000" w:sz="4" w:space="0"/>
          <w:right w:val="single" w:color="8EA9DB" w:sz="4" w:space="0"/>
          <w:insideH w:val="none" w:color="000000" w:sz="4" w:space="0"/>
          <w:insideV w:val="none" w:color="000000" w:sz="4" w:space="0"/>
        </w:tcBorders>
      </w:tcPr>
    </w:tblStylePr>
    <w:tblStylePr w:type="firstRow">
      <w:tcPr>
        <w:shd w:val="clear" w:color="ffffff" w:fill="ffffff"/>
        <w:tcBorders>
          <w:top w:val="none" w:color="000000" w:sz="4" w:space="0"/>
          <w:left w:val="single" w:color="8EA9DB"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Row">
      <w:tcPr>
        <w:shd w:val="clear" w:color="ffffff" w:fill="ffffff"/>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5" w:customStyle="1">
    <w:name w:val="List Table 7 Colorful - Accent 6"/>
    <w:basedOn w:val="645"/>
    <w:uiPriority w:val="0"/>
    <w:qFormat/>
    <w:pPr>
      <w:spacing w:after="0" w:line="240" w:lineRule="auto"/>
    </w:pPr>
    <w:rPr>
      <w:rFonts w:ascii="Times New Roman" w:hAnsi="Times New Roman" w:eastAsia="宋体" w:cs="Times New Roman"/>
    </w:rPr>
    <w:tblPr>
      <w:tblBorders>
        <w:right w:val="single" w:color="A9D08E" w:sz="4" w:space="0"/>
      </w:tblBorders>
    </w:tblPr>
    <w:tblStylePr w:type="band1Horz">
      <w:tcPr>
        <w:shd w:val="clear" w:color="daebcf" w:fill="daebcf"/>
      </w:tcPr>
    </w:tblStylePr>
    <w:tblStylePr w:type="band1Vert">
      <w:tcPr>
        <w:shd w:val="clear" w:color="daebcf" w:fill="daebcf"/>
      </w:tcPr>
    </w:tblStylePr>
    <w:tblStylePr w:type="firstCol">
      <w:pPr>
        <w:jc w:val="right"/>
      </w:pPr>
      <w:tcPr>
        <w:shd w:val="clear" w:color="ffffff" w:fill="auto"/>
        <w:tcBorders>
          <w:top w:val="none" w:color="000000" w:sz="4" w:space="0"/>
          <w:left w:val="none" w:color="000000" w:sz="4" w:space="0"/>
          <w:bottom w:val="none" w:color="000000" w:sz="4" w:space="0"/>
          <w:right w:val="single" w:color="A9D08E" w:sz="4" w:space="0"/>
          <w:insideH w:val="none" w:color="000000" w:sz="4" w:space="0"/>
          <w:insideV w:val="none" w:color="000000" w:sz="4" w:space="0"/>
        </w:tcBorders>
      </w:tcPr>
    </w:tblStylePr>
    <w:tblStylePr w:type="firstRow">
      <w:tcPr>
        <w:shd w:val="clear" w:color="ffffff" w:fill="ffffff"/>
        <w:tcBorders>
          <w:top w:val="none" w:color="000000" w:sz="4" w:space="0"/>
          <w:left w:val="single" w:color="A9D08E"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Row">
      <w:tcPr>
        <w:shd w:val="clear" w:color="ffffff" w:fill="ffffff"/>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6" w:customStyle="1">
    <w:name w:val="Lined - Accent"/>
    <w:basedOn w:val="645"/>
    <w:uiPriority w:val="0"/>
    <w:qFormat/>
    <w:pPr>
      <w:spacing w:after="0" w:line="240" w:lineRule="auto"/>
    </w:pPr>
    <w:rPr>
      <w:rFonts w:ascii="Times New Roman" w:hAnsi="Times New Roman" w:eastAsia="宋体" w:cs="Times New Roman"/>
      <w:color w:val="404040"/>
    </w:rPr>
    <w:tblPr/>
    <w:tblStylePr w:type="band2Horz">
      <w:tcPr>
        <w:shd w:val="clear" w:color="f1f1f1" w:fill="f1f1f1"/>
      </w:tcPr>
    </w:tblStylePr>
    <w:tblStylePr w:type="band2Vert">
      <w:tcPr>
        <w:shd w:val="clear" w:color="f1f1f1" w:fill="f1f1f1"/>
      </w:tcPr>
    </w:tblStylePr>
    <w:tblStylePr w:type="firstCol">
      <w:tcPr>
        <w:shd w:val="clear" w:color="7e7e7e" w:fill="7e7e7e"/>
      </w:tcPr>
    </w:tblStylePr>
    <w:tblStylePr w:type="firstRow">
      <w:tcPr>
        <w:shd w:val="clear" w:color="7e7e7e" w:fill="7e7e7e"/>
      </w:tcPr>
    </w:tblStylePr>
    <w:tblStylePr w:type="lastCol">
      <w:tcPr>
        <w:shd w:val="clear" w:color="7e7e7e" w:fill="7e7e7e"/>
      </w:tcPr>
    </w:tblStylePr>
    <w:tblStylePr w:type="lastRow">
      <w:tcPr>
        <w:shd w:val="clear" w:color="7e7e7e" w:fill="7e7e7e"/>
      </w:tcPr>
    </w:tblStylePr>
  </w:style>
  <w:style w:type="table" w:styleId="827" w:customStyle="1">
    <w:name w:val="Lined - Accent 1"/>
    <w:basedOn w:val="645"/>
    <w:uiPriority w:val="0"/>
    <w:qFormat/>
    <w:pPr>
      <w:spacing w:after="0" w:line="240" w:lineRule="auto"/>
    </w:pPr>
    <w:rPr>
      <w:rFonts w:ascii="Times New Roman" w:hAnsi="Times New Roman" w:eastAsia="宋体" w:cs="Times New Roman"/>
      <w:color w:val="404040"/>
    </w:rPr>
    <w:tblPr/>
    <w:tblStylePr w:type="band2Horz">
      <w:tcPr>
        <w:shd w:val="clear" w:color="cbdff1" w:fill="cbdff1"/>
      </w:tcPr>
    </w:tblStylePr>
    <w:tblStylePr w:type="band2Vert">
      <w:tcPr>
        <w:shd w:val="clear" w:color="cbdff1" w:fill="cbdff1"/>
      </w:tcPr>
    </w:tblStylePr>
    <w:tblStylePr w:type="firstCol">
      <w:tcPr>
        <w:shd w:val="clear" w:color="68a3d8" w:fill="68a3d8"/>
      </w:tcPr>
    </w:tblStylePr>
    <w:tblStylePr w:type="firstRow">
      <w:tcPr>
        <w:shd w:val="clear" w:color="68a3d8" w:fill="68a3d8"/>
      </w:tcPr>
    </w:tblStylePr>
    <w:tblStylePr w:type="lastCol">
      <w:tcPr>
        <w:shd w:val="clear" w:color="68a3d8" w:fill="68a3d8"/>
      </w:tcPr>
    </w:tblStylePr>
    <w:tblStylePr w:type="lastRow">
      <w:tcPr>
        <w:shd w:val="clear" w:color="68a3d8" w:fill="68a3d8"/>
      </w:tcPr>
    </w:tblStylePr>
  </w:style>
  <w:style w:type="table" w:styleId="828" w:customStyle="1">
    <w:name w:val="Lined - Accent 2"/>
    <w:basedOn w:val="645"/>
    <w:uiPriority w:val="0"/>
    <w:qFormat/>
    <w:pPr>
      <w:spacing w:after="0" w:line="240" w:lineRule="auto"/>
    </w:pPr>
    <w:rPr>
      <w:rFonts w:ascii="Times New Roman" w:hAnsi="Times New Roman" w:eastAsia="宋体" w:cs="Times New Roman"/>
      <w:color w:val="404040"/>
    </w:rPr>
    <w:tblPr/>
    <w:tblStylePr w:type="band2Horz">
      <w:tcPr>
        <w:shd w:val="clear" w:color="fbe5d6" w:fill="fbe5d6"/>
      </w:tcPr>
    </w:tblStylePr>
    <w:tblStylePr w:type="band2Vert">
      <w:tcPr>
        <w:shd w:val="clear" w:color="fbe5d6" w:fill="fbe5d6"/>
      </w:tcPr>
    </w:tblStylePr>
    <w:tblStylePr w:type="firstCol">
      <w:tcPr>
        <w:shd w:val="clear" w:color="f4b285" w:fill="f4b285"/>
      </w:tcPr>
    </w:tblStylePr>
    <w:tblStylePr w:type="firstRow">
      <w:tcPr>
        <w:shd w:val="clear" w:color="f4b285" w:fill="f4b285"/>
      </w:tcPr>
    </w:tblStylePr>
    <w:tblStylePr w:type="lastCol">
      <w:tcPr>
        <w:shd w:val="clear" w:color="f4b285" w:fill="f4b285"/>
      </w:tcPr>
    </w:tblStylePr>
    <w:tblStylePr w:type="lastRow">
      <w:tcPr>
        <w:shd w:val="clear" w:color="f4b285" w:fill="f4b285"/>
      </w:tcPr>
    </w:tblStylePr>
  </w:style>
  <w:style w:type="table" w:styleId="829" w:customStyle="1">
    <w:name w:val="Lined - Accent 3"/>
    <w:basedOn w:val="645"/>
    <w:uiPriority w:val="0"/>
    <w:qFormat/>
    <w:pPr>
      <w:spacing w:after="0" w:line="240" w:lineRule="auto"/>
    </w:pPr>
    <w:rPr>
      <w:rFonts w:ascii="Times New Roman" w:hAnsi="Times New Roman" w:eastAsia="宋体" w:cs="Times New Roman"/>
      <w:color w:val="404040"/>
    </w:rPr>
    <w:tblPr/>
    <w:tblStylePr w:type="band2Horz">
      <w:tcPr>
        <w:shd w:val="clear" w:color="ececec" w:fill="ececec"/>
      </w:tcPr>
    </w:tblStylePr>
    <w:tblStylePr w:type="band2Vert">
      <w:tcPr>
        <w:shd w:val="clear" w:color="ececec" w:fill="ececec"/>
      </w:tcPr>
    </w:tblStylePr>
    <w:tblStylePr w:type="firstCol">
      <w:tcPr>
        <w:shd w:val="clear" w:color="a5a5a5" w:fill="a5a5a5"/>
      </w:tcPr>
    </w:tblStylePr>
    <w:tblStylePr w:type="firstRow">
      <w:tcPr>
        <w:shd w:val="clear" w:color="a5a5a5" w:fill="a5a5a5"/>
      </w:tcPr>
    </w:tblStylePr>
    <w:tblStylePr w:type="lastCol">
      <w:tcPr>
        <w:shd w:val="clear" w:color="a5a5a5" w:fill="a5a5a5"/>
      </w:tcPr>
    </w:tblStylePr>
    <w:tblStylePr w:type="lastRow">
      <w:tcPr>
        <w:shd w:val="clear" w:color="a5a5a5" w:fill="a5a5a5"/>
      </w:tcPr>
    </w:tblStylePr>
  </w:style>
  <w:style w:type="table" w:styleId="830" w:customStyle="1">
    <w:name w:val="Lined - Accent 4"/>
    <w:basedOn w:val="645"/>
    <w:uiPriority w:val="0"/>
    <w:qFormat/>
    <w:pPr>
      <w:spacing w:after="0" w:line="240" w:lineRule="auto"/>
    </w:pPr>
    <w:rPr>
      <w:rFonts w:ascii="Times New Roman" w:hAnsi="Times New Roman" w:eastAsia="宋体" w:cs="Times New Roman"/>
      <w:color w:val="404040"/>
    </w:rPr>
    <w:tblPr/>
    <w:tblStylePr w:type="band2Horz">
      <w:tcPr>
        <w:shd w:val="clear" w:color="fef2ca" w:fill="fef2ca"/>
      </w:tcPr>
    </w:tblStylePr>
    <w:tblStylePr w:type="band2Vert">
      <w:tcPr>
        <w:shd w:val="clear" w:color="fef2ca" w:fill="fef2ca"/>
      </w:tcPr>
    </w:tblStylePr>
    <w:tblStylePr w:type="firstCol">
      <w:tcPr>
        <w:shd w:val="clear" w:color="ffd864" w:fill="ffd864"/>
      </w:tcPr>
    </w:tblStylePr>
    <w:tblStylePr w:type="firstRow">
      <w:tcPr>
        <w:shd w:val="clear" w:color="ffd864" w:fill="ffd864"/>
      </w:tcPr>
    </w:tblStylePr>
    <w:tblStylePr w:type="lastCol">
      <w:tcPr>
        <w:shd w:val="clear" w:color="ffd864" w:fill="ffd864"/>
      </w:tcPr>
    </w:tblStylePr>
    <w:tblStylePr w:type="lastRow">
      <w:tcPr>
        <w:shd w:val="clear" w:color="ffd864" w:fill="ffd864"/>
      </w:tcPr>
    </w:tblStylePr>
  </w:style>
  <w:style w:type="table" w:styleId="831" w:customStyle="1">
    <w:name w:val="Lined - Accent 5"/>
    <w:basedOn w:val="645"/>
    <w:uiPriority w:val="0"/>
    <w:qFormat/>
    <w:pPr>
      <w:spacing w:after="0" w:line="240" w:lineRule="auto"/>
    </w:pPr>
    <w:rPr>
      <w:rFonts w:ascii="Times New Roman" w:hAnsi="Times New Roman" w:eastAsia="宋体" w:cs="Times New Roman"/>
      <w:color w:val="404040"/>
    </w:rPr>
    <w:tblPr/>
    <w:tblStylePr w:type="band2Horz">
      <w:tcPr>
        <w:shd w:val="clear" w:color="d8e2f2" w:fill="d8e2f2"/>
      </w:tcPr>
    </w:tblStylePr>
    <w:tblStylePr w:type="band2Vert">
      <w:tcPr>
        <w:shd w:val="clear" w:color="d8e2f2" w:fill="d8e2f2"/>
      </w:tcPr>
    </w:tblStylePr>
    <w:tblStylePr w:type="firstCol">
      <w:tcPr>
        <w:shd w:val="clear" w:color="4472c4" w:fill="4472c4"/>
      </w:tcPr>
    </w:tblStylePr>
    <w:tblStylePr w:type="firstRow">
      <w:tcPr>
        <w:shd w:val="clear" w:color="4472c4" w:fill="4472c4"/>
      </w:tcPr>
    </w:tblStylePr>
    <w:tblStylePr w:type="lastCol">
      <w:tcPr>
        <w:shd w:val="clear" w:color="4472c4" w:fill="4472c4"/>
      </w:tcPr>
    </w:tblStylePr>
    <w:tblStylePr w:type="lastRow">
      <w:tcPr>
        <w:shd w:val="clear" w:color="4472c4" w:fill="4472c4"/>
      </w:tcPr>
    </w:tblStylePr>
  </w:style>
  <w:style w:type="table" w:styleId="832" w:customStyle="1">
    <w:name w:val="Lined - Accent 6"/>
    <w:basedOn w:val="645"/>
    <w:uiPriority w:val="0"/>
    <w:qFormat/>
    <w:pPr>
      <w:spacing w:after="0" w:line="240" w:lineRule="auto"/>
    </w:pPr>
    <w:rPr>
      <w:rFonts w:ascii="Times New Roman" w:hAnsi="Times New Roman" w:eastAsia="宋体" w:cs="Times New Roman"/>
      <w:color w:val="404040"/>
    </w:rPr>
    <w:tblPr/>
    <w:tblStylePr w:type="band2Horz">
      <w:tcPr>
        <w:shd w:val="clear" w:color="e1efd8" w:fill="e1efd8"/>
      </w:tcPr>
    </w:tblStylePr>
    <w:tblStylePr w:type="band2Vert">
      <w:tcPr>
        <w:shd w:val="clear" w:color="e1efd8" w:fill="e1efd8"/>
      </w:tcPr>
    </w:tblStylePr>
    <w:tblStylePr w:type="firstCol">
      <w:tcPr>
        <w:shd w:val="clear" w:color="70ad47" w:fill="70ad47"/>
      </w:tcPr>
    </w:tblStylePr>
    <w:tblStylePr w:type="firstRow">
      <w:tcPr>
        <w:shd w:val="clear" w:color="70ad47" w:fill="70ad47"/>
      </w:tcPr>
    </w:tblStylePr>
    <w:tblStylePr w:type="lastCol">
      <w:tcPr>
        <w:shd w:val="clear" w:color="70ad47" w:fill="70ad47"/>
      </w:tcPr>
    </w:tblStylePr>
    <w:tblStylePr w:type="lastRow">
      <w:tcPr>
        <w:shd w:val="clear" w:color="70ad47" w:fill="70ad47"/>
      </w:tcPr>
    </w:tblStylePr>
  </w:style>
  <w:style w:type="table" w:styleId="833" w:customStyle="1">
    <w:name w:val="Bordered &amp; Lined - Accent"/>
    <w:basedOn w:val="645"/>
    <w:uiPriority w:val="0"/>
    <w:qFormat/>
    <w:pPr>
      <w:spacing w:after="0" w:line="240" w:lineRule="auto"/>
    </w:pPr>
    <w:rPr>
      <w:rFonts w:ascii="Times New Roman" w:hAnsi="Times New Roman" w:eastAsia="宋体" w:cs="Times New Roman"/>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2Horz">
      <w:tcPr>
        <w:shd w:val="clear" w:color="f1f1f1" w:fill="f1f1f1"/>
      </w:tcPr>
    </w:tblStylePr>
    <w:tblStylePr w:type="band2Vert">
      <w:tcPr>
        <w:shd w:val="clear" w:color="f1f1f1" w:fill="f1f1f1"/>
      </w:tcPr>
    </w:tblStylePr>
    <w:tblStylePr w:type="firstCol">
      <w:tcPr>
        <w:shd w:val="clear" w:color="7e7e7e" w:fill="7e7e7e"/>
      </w:tcPr>
    </w:tblStylePr>
    <w:tblStylePr w:type="firstRow">
      <w:tcPr>
        <w:shd w:val="clear" w:color="7e7e7e" w:fill="7e7e7e"/>
      </w:tcPr>
    </w:tblStylePr>
    <w:tblStylePr w:type="lastCol">
      <w:tcPr>
        <w:shd w:val="clear" w:color="7e7e7e" w:fill="7e7e7e"/>
      </w:tcPr>
    </w:tblStylePr>
    <w:tblStylePr w:type="lastRow">
      <w:tcPr>
        <w:shd w:val="clear" w:color="7e7e7e" w:fill="7e7e7e"/>
      </w:tcPr>
    </w:tblStylePr>
  </w:style>
  <w:style w:type="table" w:styleId="834" w:customStyle="1">
    <w:name w:val="Bordered &amp; Lined - Accent 1"/>
    <w:basedOn w:val="645"/>
    <w:uiPriority w:val="0"/>
    <w:qFormat/>
    <w:pPr>
      <w:spacing w:after="0" w:line="240" w:lineRule="auto"/>
    </w:pPr>
    <w:rPr>
      <w:rFonts w:ascii="Times New Roman" w:hAnsi="Times New Roman" w:eastAsia="宋体" w:cs="Times New Roman"/>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2Horz">
      <w:tcPr>
        <w:shd w:val="clear" w:color="cbdff1" w:fill="cbdff1"/>
      </w:tcPr>
    </w:tblStylePr>
    <w:tblStylePr w:type="band2Vert">
      <w:tcPr>
        <w:shd w:val="clear" w:color="cbdff1" w:fill="cbdff1"/>
      </w:tcPr>
    </w:tblStylePr>
    <w:tblStylePr w:type="firstCol">
      <w:tcPr>
        <w:shd w:val="clear" w:color="68a3d8" w:fill="68a3d8"/>
      </w:tcPr>
    </w:tblStylePr>
    <w:tblStylePr w:type="firstRow">
      <w:tcPr>
        <w:shd w:val="clear" w:color="68a3d8" w:fill="68a3d8"/>
      </w:tcPr>
    </w:tblStylePr>
    <w:tblStylePr w:type="lastCol">
      <w:tcPr>
        <w:shd w:val="clear" w:color="68a3d8" w:fill="68a3d8"/>
      </w:tcPr>
    </w:tblStylePr>
    <w:tblStylePr w:type="lastRow">
      <w:tcPr>
        <w:shd w:val="clear" w:color="68a3d8" w:fill="68a3d8"/>
      </w:tcPr>
    </w:tblStylePr>
  </w:style>
  <w:style w:type="table" w:styleId="835" w:customStyle="1">
    <w:name w:val="Bordered &amp; Lined - Accent 2"/>
    <w:basedOn w:val="645"/>
    <w:uiPriority w:val="0"/>
    <w:qFormat/>
    <w:pPr>
      <w:spacing w:after="0" w:line="240" w:lineRule="auto"/>
    </w:pPr>
    <w:rPr>
      <w:rFonts w:ascii="Times New Roman" w:hAnsi="Times New Roman" w:eastAsia="宋体" w:cs="Times New Roman"/>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2Horz">
      <w:tcPr>
        <w:shd w:val="clear" w:color="fbe5d6" w:fill="fbe5d6"/>
      </w:tcPr>
    </w:tblStylePr>
    <w:tblStylePr w:type="band2Vert">
      <w:tcPr>
        <w:shd w:val="clear" w:color="fbe5d6" w:fill="fbe5d6"/>
      </w:tcPr>
    </w:tblStylePr>
    <w:tblStylePr w:type="firstCol">
      <w:tcPr>
        <w:shd w:val="clear" w:color="f4b285" w:fill="f4b285"/>
      </w:tcPr>
    </w:tblStylePr>
    <w:tblStylePr w:type="firstRow">
      <w:tcPr>
        <w:shd w:val="clear" w:color="f4b285" w:fill="f4b285"/>
      </w:tcPr>
    </w:tblStylePr>
    <w:tblStylePr w:type="lastCol">
      <w:tcPr>
        <w:shd w:val="clear" w:color="f4b285" w:fill="f4b285"/>
      </w:tcPr>
    </w:tblStylePr>
    <w:tblStylePr w:type="lastRow">
      <w:tcPr>
        <w:shd w:val="clear" w:color="f4b285" w:fill="f4b285"/>
      </w:tcPr>
    </w:tblStylePr>
  </w:style>
  <w:style w:type="table" w:styleId="836" w:customStyle="1">
    <w:name w:val="Bordered &amp; Lined - Accent 3"/>
    <w:basedOn w:val="645"/>
    <w:uiPriority w:val="0"/>
    <w:qFormat/>
    <w:pPr>
      <w:spacing w:after="0" w:line="240" w:lineRule="auto"/>
    </w:pPr>
    <w:rPr>
      <w:rFonts w:ascii="Times New Roman" w:hAnsi="Times New Roman" w:eastAsia="宋体" w:cs="Times New Roman"/>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2Horz">
      <w:tcPr>
        <w:shd w:val="clear" w:color="ececec" w:fill="ececec"/>
      </w:tcPr>
    </w:tblStylePr>
    <w:tblStylePr w:type="band2Vert">
      <w:tcPr>
        <w:shd w:val="clear" w:color="ececec" w:fill="ececec"/>
      </w:tcPr>
    </w:tblStylePr>
    <w:tblStylePr w:type="firstCol">
      <w:tcPr>
        <w:shd w:val="clear" w:color="a5a5a5" w:fill="a5a5a5"/>
      </w:tcPr>
    </w:tblStylePr>
    <w:tblStylePr w:type="firstRow">
      <w:tcPr>
        <w:shd w:val="clear" w:color="a5a5a5" w:fill="a5a5a5"/>
      </w:tcPr>
    </w:tblStylePr>
    <w:tblStylePr w:type="lastCol">
      <w:tcPr>
        <w:shd w:val="clear" w:color="a5a5a5" w:fill="a5a5a5"/>
      </w:tcPr>
    </w:tblStylePr>
    <w:tblStylePr w:type="lastRow">
      <w:tcPr>
        <w:shd w:val="clear" w:color="a5a5a5" w:fill="a5a5a5"/>
      </w:tcPr>
    </w:tblStylePr>
  </w:style>
  <w:style w:type="table" w:styleId="837" w:customStyle="1">
    <w:name w:val="Bordered &amp; Lined - Accent 4"/>
    <w:basedOn w:val="645"/>
    <w:uiPriority w:val="0"/>
    <w:qFormat/>
    <w:pPr>
      <w:spacing w:after="0" w:line="240" w:lineRule="auto"/>
    </w:pPr>
    <w:rPr>
      <w:rFonts w:ascii="Times New Roman" w:hAnsi="Times New Roman" w:eastAsia="宋体" w:cs="Times New Roman"/>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2Horz">
      <w:tcPr>
        <w:shd w:val="clear" w:color="fef2ca" w:fill="fef2ca"/>
      </w:tcPr>
    </w:tblStylePr>
    <w:tblStylePr w:type="band2Vert">
      <w:tcPr>
        <w:shd w:val="clear" w:color="fef2ca" w:fill="fef2ca"/>
      </w:tcPr>
    </w:tblStylePr>
    <w:tblStylePr w:type="firstCol">
      <w:tcPr>
        <w:shd w:val="clear" w:color="ffd864" w:fill="ffd864"/>
      </w:tcPr>
    </w:tblStylePr>
    <w:tblStylePr w:type="firstRow">
      <w:tcPr>
        <w:shd w:val="clear" w:color="ffd864" w:fill="ffd864"/>
      </w:tcPr>
    </w:tblStylePr>
    <w:tblStylePr w:type="lastCol">
      <w:tcPr>
        <w:shd w:val="clear" w:color="ffd864" w:fill="ffd864"/>
      </w:tcPr>
    </w:tblStylePr>
    <w:tblStylePr w:type="lastRow">
      <w:tcPr>
        <w:shd w:val="clear" w:color="ffd864" w:fill="ffd864"/>
      </w:tcPr>
    </w:tblStylePr>
  </w:style>
  <w:style w:type="table" w:styleId="838" w:customStyle="1">
    <w:name w:val="Bordered &amp; Lined - Accent 5"/>
    <w:basedOn w:val="645"/>
    <w:uiPriority w:val="0"/>
    <w:qFormat/>
    <w:pPr>
      <w:spacing w:after="0" w:line="240" w:lineRule="auto"/>
    </w:pPr>
    <w:rPr>
      <w:rFonts w:ascii="Times New Roman" w:hAnsi="Times New Roman" w:eastAsia="宋体" w:cs="Times New Roman"/>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2Horz">
      <w:tcPr>
        <w:shd w:val="clear" w:color="d8e2f2" w:fill="d8e2f2"/>
      </w:tcPr>
    </w:tblStylePr>
    <w:tblStylePr w:type="band2Vert">
      <w:tcPr>
        <w:shd w:val="clear" w:color="d8e2f2" w:fill="d8e2f2"/>
      </w:tcPr>
    </w:tblStylePr>
    <w:tblStylePr w:type="firstCol">
      <w:tcPr>
        <w:shd w:val="clear" w:color="4472c4" w:fill="4472c4"/>
      </w:tcPr>
    </w:tblStylePr>
    <w:tblStylePr w:type="firstRow">
      <w:tcPr>
        <w:shd w:val="clear" w:color="4472c4" w:fill="4472c4"/>
      </w:tcPr>
    </w:tblStylePr>
    <w:tblStylePr w:type="lastCol">
      <w:tcPr>
        <w:shd w:val="clear" w:color="4472c4" w:fill="4472c4"/>
      </w:tcPr>
    </w:tblStylePr>
    <w:tblStylePr w:type="lastRow">
      <w:tcPr>
        <w:shd w:val="clear" w:color="4472c4" w:fill="4472c4"/>
      </w:tcPr>
    </w:tblStylePr>
  </w:style>
  <w:style w:type="table" w:styleId="839" w:customStyle="1">
    <w:name w:val="Bordered &amp; Lined - Accent 6"/>
    <w:basedOn w:val="645"/>
    <w:uiPriority w:val="0"/>
    <w:qFormat/>
    <w:pPr>
      <w:spacing w:after="0" w:line="240" w:lineRule="auto"/>
    </w:pPr>
    <w:rPr>
      <w:rFonts w:ascii="Times New Roman" w:hAnsi="Times New Roman" w:eastAsia="宋体" w:cs="Times New Roman"/>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2Horz">
      <w:tcPr>
        <w:shd w:val="clear" w:color="e1efd8" w:fill="e1efd8"/>
      </w:tcPr>
    </w:tblStylePr>
    <w:tblStylePr w:type="band2Vert">
      <w:tcPr>
        <w:shd w:val="clear" w:color="e1efd8" w:fill="e1efd8"/>
      </w:tcPr>
    </w:tblStylePr>
    <w:tblStylePr w:type="firstCol">
      <w:tcPr>
        <w:shd w:val="clear" w:color="70ad47" w:fill="70ad47"/>
      </w:tcPr>
    </w:tblStylePr>
    <w:tblStylePr w:type="firstRow">
      <w:tcPr>
        <w:shd w:val="clear" w:color="70ad47" w:fill="70ad47"/>
      </w:tcPr>
    </w:tblStylePr>
    <w:tblStylePr w:type="lastCol">
      <w:tcPr>
        <w:shd w:val="clear" w:color="70ad47" w:fill="70ad47"/>
      </w:tcPr>
    </w:tblStylePr>
    <w:tblStylePr w:type="lastRow">
      <w:tcPr>
        <w:shd w:val="clear" w:color="70ad47" w:fill="70ad47"/>
      </w:tcPr>
    </w:tblStylePr>
  </w:style>
  <w:style w:type="table" w:styleId="840" w:customStyle="1">
    <w:name w:val="Bordered"/>
    <w:basedOn w:val="645"/>
    <w:uiPriority w:val="0"/>
    <w:qFormat/>
    <w:pPr>
      <w:spacing w:after="0" w:line="240" w:lineRule="auto"/>
    </w:pPr>
    <w:rPr>
      <w:rFonts w:ascii="Times New Roman" w:hAnsi="Times New Roman" w:eastAsia="宋体" w:cs="Times New Roman"/>
    </w:r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Row">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Row">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1" w:customStyle="1">
    <w:name w:val="Bordered - Accent 1"/>
    <w:basedOn w:val="645"/>
    <w:uiPriority w:val="0"/>
    <w:qFormat/>
    <w:pPr>
      <w:spacing w:after="0" w:line="240" w:lineRule="auto"/>
    </w:pPr>
    <w:rPr>
      <w:rFonts w:ascii="Times New Roman" w:hAnsi="Times New Roman" w:eastAsia="宋体" w:cs="Times New Roman"/>
    </w:r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Row">
      <w:tcPr>
        <w:tcBorders>
          <w:top w:val="none" w:color="000000" w:sz="4" w:space="0"/>
          <w:left w:val="single" w:color="5B9BD5"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5B9BD5" w:sz="12" w:space="0"/>
          <w:right w:val="none" w:color="000000" w:sz="4" w:space="0"/>
          <w:insideH w:val="none" w:color="000000" w:sz="4" w:space="0"/>
          <w:insideV w:val="none" w:color="000000" w:sz="4" w:space="0"/>
        </w:tcBorders>
      </w:tcPr>
    </w:tblStylePr>
    <w:tblStylePr w:type="lastRow">
      <w:tcPr>
        <w:tcBorders>
          <w:top w:val="single" w:color="5B9BD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2" w:customStyle="1">
    <w:name w:val="Bordered - Accent 2"/>
    <w:basedOn w:val="645"/>
    <w:uiPriority w:val="0"/>
    <w:qFormat/>
    <w:pPr>
      <w:spacing w:after="0" w:line="240" w:lineRule="auto"/>
    </w:pPr>
    <w:rPr>
      <w:rFonts w:ascii="Times New Roman" w:hAnsi="Times New Roman" w:eastAsia="宋体" w:cs="Times New Roman"/>
    </w:r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Row">
      <w:tcPr>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Row">
      <w:tcPr>
        <w:tcBorders>
          <w:top w:val="single" w:color="F4B28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Bordered - Accent 3"/>
    <w:basedOn w:val="645"/>
    <w:uiPriority w:val="0"/>
    <w:qFormat/>
    <w:pPr>
      <w:spacing w:after="0" w:line="240" w:lineRule="auto"/>
    </w:pPr>
    <w:rPr>
      <w:rFonts w:ascii="Times New Roman" w:hAnsi="Times New Roman" w:eastAsia="宋体" w:cs="Times New Roman"/>
    </w:r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Row">
      <w:tcPr>
        <w:tcBorders>
          <w:top w:val="none" w:color="000000" w:sz="4" w:space="0"/>
          <w:left w:val="single" w:color="C9C9C9"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C9C9C9" w:sz="12" w:space="0"/>
          <w:right w:val="none" w:color="000000" w:sz="4" w:space="0"/>
          <w:insideH w:val="none" w:color="000000" w:sz="4" w:space="0"/>
          <w:insideV w:val="none" w:color="000000" w:sz="4" w:space="0"/>
        </w:tcBorders>
      </w:tcPr>
    </w:tblStylePr>
    <w:tblStylePr w:type="lastRow">
      <w:tcPr>
        <w:tcBorders>
          <w:top w:val="single" w:color="C9C9C9"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Bordered - Accent 4"/>
    <w:basedOn w:val="645"/>
    <w:uiPriority w:val="0"/>
    <w:qFormat/>
    <w:pPr>
      <w:spacing w:after="0" w:line="240" w:lineRule="auto"/>
    </w:pPr>
    <w:rPr>
      <w:rFonts w:ascii="Times New Roman" w:hAnsi="Times New Roman" w:eastAsia="宋体" w:cs="Times New Roman"/>
    </w:rPr>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Row">
      <w:tcPr>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Row">
      <w:tcPr>
        <w:tcBorders>
          <w:top w:val="single" w:color="FFD864"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Bordered - Accent 5"/>
    <w:basedOn w:val="645"/>
    <w:uiPriority w:val="0"/>
    <w:qFormat/>
    <w:pPr>
      <w:spacing w:after="0" w:line="240" w:lineRule="auto"/>
    </w:pPr>
    <w:rPr>
      <w:rFonts w:ascii="Times New Roman" w:hAnsi="Times New Roman" w:eastAsia="宋体" w:cs="Times New Roman"/>
    </w:rPr>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Row">
      <w:tcPr>
        <w:tcBorders>
          <w:top w:val="none" w:color="000000" w:sz="4" w:space="0"/>
          <w:left w:val="single" w:color="8EA9DB"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8EA9DB" w:sz="12" w:space="0"/>
          <w:right w:val="none" w:color="000000" w:sz="4" w:space="0"/>
          <w:insideH w:val="none" w:color="000000" w:sz="4" w:space="0"/>
          <w:insideV w:val="none" w:color="000000" w:sz="4" w:space="0"/>
        </w:tcBorders>
      </w:tcPr>
    </w:tblStylePr>
    <w:tblStylePr w:type="lastRow">
      <w:tcPr>
        <w:tcBorders>
          <w:top w:val="single" w:color="8EA9D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customStyle="1">
    <w:name w:val="Bordered - Accent 6"/>
    <w:basedOn w:val="645"/>
    <w:uiPriority w:val="0"/>
    <w:qFormat/>
    <w:pPr>
      <w:spacing w:after="0" w:line="240" w:lineRule="auto"/>
    </w:pPr>
    <w:rPr>
      <w:rFonts w:ascii="Times New Roman" w:hAnsi="Times New Roman" w:eastAsia="宋体" w:cs="Times New Roman"/>
    </w:r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Row">
      <w:tcPr>
        <w:tcBorders>
          <w:top w:val="none" w:color="000000" w:sz="4" w:space="0"/>
          <w:left w:val="single" w:color="A9D08E"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A9D08E" w:sz="12" w:space="0"/>
          <w:right w:val="none" w:color="000000" w:sz="4" w:space="0"/>
          <w:insideH w:val="none" w:color="000000" w:sz="4" w:space="0"/>
          <w:insideV w:val="none" w:color="000000" w:sz="4" w:space="0"/>
        </w:tcBorders>
      </w:tcPr>
    </w:tblStylePr>
    <w:tblStylePr w:type="lastRow">
      <w:tcPr>
        <w:tcBorders>
          <w:top w:val="single" w:color="A9D08E"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47" w:customStyle="1">
    <w:name w:val="TOC Heading_896fdbc1-233e-4be8-9400-2c907556909b"/>
    <w:uiPriority w:val="0"/>
    <w:qFormat/>
    <w:rPr>
      <w:rFonts w:hint="default" w:ascii="Times New Roman" w:hAnsi="Times New Roman" w:eastAsia="宋体" w:cs="Times New Roman"/>
    </w:rPr>
  </w:style>
  <w:style w:type="table" w:styleId="848" w:customStyle="1">
    <w:name w:val="三线表"/>
    <w:basedOn w:val="645"/>
    <w:uiPriority w:val="0"/>
    <w:qFormat/>
    <w:rPr>
      <w:rFonts w:ascii="Times New Roman" w:hAnsi="Times New Roman" w:eastAsia="宋体" w:cs="Times New Roman"/>
    </w:rPr>
    <w:tblPr>
      <w:tblBorders>
        <w:top w:val="single" w:color="000000" w:sz="12" w:space="0"/>
        <w:bottom w:val="single" w:color="000000" w:sz="12" w:space="0"/>
      </w:tblBorders>
      <w:tblCellMar>
        <w:left w:w="108" w:type="dxa"/>
        <w:top w:w="0" w:type="dxa"/>
        <w:right w:w="108" w:type="dxa"/>
        <w:bottom w:w="0" w:type="dxa"/>
      </w:tblCellMar>
    </w:tblPr>
    <w:tblStylePr w:type="firstRow">
      <w:tcPr>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style>
  <w:style w:type="character" w:styleId="849" w:customStyle="1">
    <w:name w:val="正文文本 Char"/>
    <w:basedOn w:val="644"/>
    <w:uiPriority w:val="0"/>
    <w:qFormat/>
    <w:rPr>
      <w:rFonts w:ascii="Times New Roman" w:hAnsi="Times New Roman" w:eastAsia="宋体" w:cs="Times New Roman"/>
      <w:sz w:val="24"/>
      <w:szCs w:val="24"/>
    </w:rPr>
  </w:style>
  <w:style w:type="character" w:styleId="850" w:customStyle="1">
    <w:name w:val="正文文本缩进 3 Char"/>
    <w:basedOn w:val="644"/>
    <w:uiPriority w:val="0"/>
    <w:qFormat/>
    <w:rPr>
      <w:rFonts w:ascii="Times New Roman" w:hAnsi="Times New Roman" w:eastAsia="宋体" w:cs="Times New Roman"/>
      <w:sz w:val="16"/>
      <w:szCs w:val="16"/>
    </w:rPr>
  </w:style>
  <w:style w:type="paragraph" w:styleId="851" w:customStyle="1">
    <w:name w:val="正文首行缩进2字符"/>
    <w:basedOn w:val="634"/>
    <w:uiPriority w:val="0"/>
    <w:qFormat/>
    <w:pPr>
      <w:ind w:firstLine="482"/>
    </w:pPr>
    <w:rPr>
      <w:rFonts w:ascii="Times New Roman" w:hAnsi="Times New Roman" w:eastAsia="宋体" w:cs="Times New Roman"/>
    </w:rPr>
  </w:style>
  <w:style w:type="character" w:styleId="852" w:customStyle="1">
    <w:name w:val="current"/>
    <w:basedOn w:val="644"/>
    <w:uiPriority w:val="0"/>
    <w:qFormat/>
    <w:rPr>
      <w:rFonts w:ascii="Times New Roman" w:hAnsi="Times New Roman" w:eastAsia="宋体" w:cs="Times New Roman"/>
      <w:b/>
      <w:bCs/>
      <w:color w:val="05a7d8"/>
      <w:sz w:val="18"/>
      <w:szCs w:val="18"/>
    </w:rPr>
  </w:style>
  <w:style w:type="character" w:styleId="853" w:customStyle="1">
    <w:name w:val="l-btn-left"/>
    <w:basedOn w:val="644"/>
    <w:uiPriority w:val="0"/>
    <w:qFormat/>
    <w:rPr>
      <w:rFonts w:ascii="Times New Roman" w:hAnsi="Times New Roman" w:eastAsia="宋体" w:cs="Times New Roman"/>
    </w:rPr>
  </w:style>
  <w:style w:type="character" w:styleId="854" w:customStyle="1">
    <w:name w:val="l-btn-text36"/>
    <w:basedOn w:val="644"/>
    <w:uiPriority w:val="0"/>
    <w:qFormat/>
    <w:rPr>
      <w:rFonts w:ascii="Times New Roman" w:hAnsi="Times New Roman" w:eastAsia="宋体" w:cs="Times New Roman"/>
    </w:rPr>
  </w:style>
  <w:style w:type="character" w:styleId="855" w:customStyle="1">
    <w:name w:val="l-btn-text"/>
    <w:basedOn w:val="644"/>
    <w:uiPriority w:val="0"/>
    <w:qFormat/>
    <w:rPr>
      <w:rFonts w:ascii="Times New Roman" w:hAnsi="Times New Roman" w:eastAsia="宋体" w:cs="Times New Roman"/>
    </w:rPr>
  </w:style>
  <w:style w:type="character" w:styleId="856" w:customStyle="1">
    <w:name w:val="grame"/>
    <w:basedOn w:val="644"/>
    <w:uiPriority w:val="0"/>
    <w:qFormat/>
    <w:rPr>
      <w:rFonts w:ascii="Times New Roman" w:hAnsi="Times New Roman" w:eastAsia="宋体" w:cs="Times New Roman"/>
    </w:rPr>
  </w:style>
  <w:style w:type="paragraph" w:styleId="857" w:customStyle="1">
    <w:name w:val="标准文本"/>
    <w:basedOn w:val="634"/>
    <w:uiPriority w:val="0"/>
    <w:qFormat/>
    <w:pPr>
      <w:ind w:firstLine="480"/>
      <w:spacing w:line="360" w:lineRule="auto"/>
    </w:pPr>
    <w:rPr>
      <w:rFonts w:ascii="Times New Roman" w:hAnsi="Times New Roman" w:eastAsia="宋体" w:cs="宋体"/>
      <w:szCs w:val="20"/>
    </w:rPr>
  </w:style>
  <w:style w:type="paragraph" w:styleId="858" w:customStyle="1">
    <w:name w:val="_Style 3"/>
    <w:uiPriority w:val="0"/>
    <w:qFormat/>
    <w:pPr>
      <w:jc w:val="both"/>
      <w:widowControl w:val="off"/>
    </w:pPr>
    <w:rPr>
      <w:rFonts w:hint="default" w:ascii="Calibri" w:hAnsi="Calibri" w:eastAsia="宋体" w:cs="Times New Roman"/>
      <w:sz w:val="21"/>
      <w:szCs w:val="22"/>
      <w:lang w:val="en-US" w:eastAsia="zh-CN" w:bidi="ar-SA"/>
    </w:rPr>
  </w:style>
  <w:style w:type="character" w:styleId="859" w:customStyle="1">
    <w:name w:val="active16"/>
    <w:basedOn w:val="644"/>
    <w:uiPriority w:val="0"/>
    <w:qFormat/>
    <w:rPr>
      <w:rFonts w:ascii="Times New Roman" w:hAnsi="Times New Roman" w:eastAsia="宋体" w:cs="Times New Roman"/>
      <w:color w:val="ffffff"/>
      <w:shd w:val="clear" w:color="auto" w:fill="0f5bb9"/>
    </w:rPr>
  </w:style>
  <w:style w:type="character" w:styleId="860" w:customStyle="1">
    <w:name w:val="active"/>
    <w:basedOn w:val="644"/>
    <w:uiPriority w:val="0"/>
    <w:qFormat/>
    <w:rPr>
      <w:rFonts w:ascii="Times New Roman" w:hAnsi="Times New Roman" w:eastAsia="宋体" w:cs="Times New Roman"/>
      <w:color w:val="ffffff"/>
      <w:shd w:val="clear" w:color="auto" w:fill="0f5bb9"/>
    </w:rPr>
  </w:style>
  <w:style w:type="paragraph" w:styleId="861" w:customStyle="1">
    <w:name w:val="Table Paragraph"/>
    <w:basedOn w:val="634"/>
    <w:uiPriority w:val="1"/>
    <w:qFormat/>
    <w:pPr>
      <w:jc w:val="left"/>
    </w:pPr>
    <w:rPr>
      <w:rFonts w:ascii="宋体" w:hAnsi="宋体" w:cs="宋体"/>
      <w:sz w:val="22"/>
      <w:szCs w:val="22"/>
      <w:lang w:eastAsia="en-US"/>
    </w:rPr>
  </w:style>
  <w:style w:type="numbering" w:styleId="74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晗宇 康</dc:creator>
  <cp:lastModifiedBy>黄雪峰</cp:lastModifiedBy>
  <cp:revision>5</cp:revision>
  <dcterms:created xsi:type="dcterms:W3CDTF">2024-12-04T02:34:00Z</dcterms:created>
  <dcterms:modified xsi:type="dcterms:W3CDTF">2026-06-23T07:40:03Z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3C521026CFAE45E1BD8746222211CF68_13</vt:lpwstr>
  </property>
  <property fmtid="{D5CDD505-2E9C-101B-9397-08002B2CF9AE}" pid="4" name="KSOTemplateDocerSaveRecord">
    <vt:lpwstr>eyJoZGlkIjoiZGFmOTA5N2IxNmQ1YWY5MjI1YTlkYmVhY2NiMGJkN2QiLCJ1c2VySWQiOiI1Njk0NzI4ODgifQ==</vt:lpwstr>
  </property>
</Properties>
</file>